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110B" w:rsidRPr="0081110B" w:rsidRDefault="0081110B" w:rsidP="0081110B">
      <w:pPr>
        <w:spacing w:before="100" w:beforeAutospacing="1" w:after="100" w:afterAutospacing="1" w:line="240" w:lineRule="auto"/>
        <w:rPr>
          <w:rFonts w:ascii="ACaslonPro-Semibold" w:eastAsia="Times New Roman" w:hAnsi="ACaslonPro-Semibold" w:cs="Times New Roman"/>
          <w:color w:val="000000"/>
          <w:sz w:val="31"/>
          <w:szCs w:val="31"/>
        </w:rPr>
      </w:pPr>
      <w:r w:rsidRPr="0081110B">
        <w:rPr>
          <w:rFonts w:ascii="ACaslonPro-Semibold" w:eastAsia="Times New Roman" w:hAnsi="ACaslonPro-Semibold" w:cs="Times New Roman"/>
          <w:color w:val="000000"/>
          <w:sz w:val="31"/>
          <w:szCs w:val="31"/>
        </w:rPr>
        <w:fldChar w:fldCharType="begin"/>
      </w:r>
      <w:r w:rsidRPr="0081110B">
        <w:rPr>
          <w:rFonts w:ascii="ACaslonPro-Semibold" w:eastAsia="Times New Roman" w:hAnsi="ACaslonPro-Semibold" w:cs="Times New Roman"/>
          <w:color w:val="000000"/>
          <w:sz w:val="31"/>
          <w:szCs w:val="31"/>
        </w:rPr>
        <w:instrText xml:space="preserve"> HYPERLINK "https://jigsaw.vitalsource.com/books/9781351142502/epub/OEBPS/toc.xlink.xhtml" \l "rcase5.1" </w:instrText>
      </w:r>
      <w:r w:rsidRPr="0081110B">
        <w:rPr>
          <w:rFonts w:ascii="ACaslonPro-Semibold" w:eastAsia="Times New Roman" w:hAnsi="ACaslonPro-Semibold" w:cs="Times New Roman"/>
          <w:color w:val="000000"/>
          <w:sz w:val="31"/>
          <w:szCs w:val="31"/>
        </w:rPr>
        <w:fldChar w:fldCharType="separate"/>
      </w:r>
      <w:r w:rsidRPr="0081110B">
        <w:rPr>
          <w:rFonts w:ascii="ACaslonPro-Semibold" w:eastAsia="Times New Roman" w:hAnsi="ACaslonPro-Semibold" w:cs="Times New Roman"/>
          <w:color w:val="0000FF"/>
          <w:sz w:val="31"/>
          <w:szCs w:val="31"/>
          <w:u w:val="single"/>
        </w:rPr>
        <w:t>CASE 5.1: PROTESTING THE PLEDGE</w:t>
      </w:r>
      <w:r w:rsidRPr="0081110B">
        <w:rPr>
          <w:rFonts w:ascii="ACaslonPro-Semibold" w:eastAsia="Times New Roman" w:hAnsi="ACaslonPro-Semibold" w:cs="Times New Roman"/>
          <w:color w:val="000000"/>
          <w:sz w:val="31"/>
          <w:szCs w:val="31"/>
        </w:rPr>
        <w:fldChar w:fldCharType="end"/>
      </w:r>
    </w:p>
    <w:p w:rsidR="0081110B" w:rsidRPr="0081110B" w:rsidRDefault="0081110B" w:rsidP="0081110B">
      <w:pPr>
        <w:spacing w:before="100" w:beforeAutospacing="1" w:after="100" w:afterAutospacing="1" w:line="240" w:lineRule="auto"/>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As they filed into his classroom, Mr. Harrold overheard students discussing the score of a professional football game from the previous evening. When the conversation subsided, one student, Caylee, mentioned a player on the losing team who refused to stand during the national anthem. “Losing is karma for not respecting the American flag,” she proclaimed. A few of her classmates laughed and nodded in agreement. Another student added, “His team probably lost because of the distraction.”</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“Oh boy,” Mr. Harrold thought. “Is this something I need to address?” His mind turned to all the content he needed to cover and his carefully planned lesson, so he decided not to respond to Caylee’s comment.</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Later that evening as he watched the news Mr. Harrold saw highlights from the football game the students had discussed. The reporter addressed the backlash the player received for not standing during the national anthem. She interviewed both people who supported the player’s decision and others who opposed it. Mr. Harrold wondered about his decision not to address Caylee’s comment but felt the teachable moment had passed.</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Several weeks later Mr. Harrold overheard students talking about a classmate who had chosen earlier in the day not to stand during the Pledge of Allegiance. When asked by classmates about her decision, Kate had explained, “I don’t believe ‘liberty and justice for all’ exist in our country.”</w:t>
      </w:r>
    </w:p>
    <w:p w:rsidR="0081110B" w:rsidRPr="0081110B" w:rsidRDefault="0081110B" w:rsidP="0081110B">
      <w:pPr>
        <w:spacing w:before="300" w:after="300" w:line="240" w:lineRule="auto"/>
        <w:jc w:val="right"/>
        <w:rPr>
          <w:rFonts w:ascii="ACaslonPro-Regular" w:eastAsia="Times New Roman" w:hAnsi="ACaslonPro-Regular" w:cs="Times New Roman"/>
          <w:color w:val="97A4AA"/>
          <w:sz w:val="18"/>
          <w:szCs w:val="18"/>
        </w:rPr>
      </w:pPr>
      <w:r w:rsidRPr="0081110B">
        <w:rPr>
          <w:rFonts w:ascii="ACaslonPro-Regular" w:eastAsia="Times New Roman" w:hAnsi="ACaslonPro-Regular" w:cs="Times New Roman"/>
          <w:color w:val="97A4AA"/>
          <w:sz w:val="18"/>
          <w:szCs w:val="18"/>
          <w:highlight w:val="yellow"/>
        </w:rPr>
        <w:t>p.40</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A couple of her classmates expressed disdain for her behavior. They said Kate was only protesting because she wanted attention, not because of her cultural or political beliefs.</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Once again Mr. Harrold was unsure how to respond. He knew this was a sensitive topic eliciting heated debates among adults, so he knew he needed to proceed with caution. He also knew his school prided itself on the annual Veterans Day program and wondered whether promoting dialogue about sitting during the national anthem or Pledge of Allegiance would be seen by some people in the community as conflicting with the school’s history of honoring military veterans.</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As he lost himself in reflection about how or whether to address the situation, a student interrupted his contemplation. “Mr. Harrold,” the student asked, “do you think it’s disrespectful to not stand during the Pledge or national anthem? Isn’t it a school rule that we have to stand?”</w:t>
      </w:r>
    </w:p>
    <w:p w:rsidR="0081110B" w:rsidRPr="0081110B" w:rsidRDefault="0081110B" w:rsidP="0081110B">
      <w:pPr>
        <w:spacing w:before="360" w:after="192" w:line="240" w:lineRule="auto"/>
        <w:rPr>
          <w:rFonts w:ascii="ACaslonPro-Italic" w:eastAsia="Times New Roman" w:hAnsi="ACaslonPro-Italic" w:cs="Times New Roman"/>
          <w:color w:val="000000"/>
          <w:sz w:val="29"/>
          <w:szCs w:val="29"/>
        </w:rPr>
      </w:pPr>
      <w:r w:rsidRPr="0081110B">
        <w:rPr>
          <w:rFonts w:ascii="ACaslonPro-Italic" w:eastAsia="Times New Roman" w:hAnsi="ACaslonPro-Italic" w:cs="Times New Roman"/>
          <w:color w:val="000000"/>
          <w:sz w:val="29"/>
          <w:szCs w:val="29"/>
        </w:rPr>
        <w:t>Questions</w:t>
      </w:r>
    </w:p>
    <w:p w:rsidR="0081110B" w:rsidRPr="0081110B" w:rsidRDefault="0081110B" w:rsidP="0081110B">
      <w:pPr>
        <w:spacing w:after="100" w:afterAutospacing="1" w:line="240" w:lineRule="auto"/>
        <w:ind w:left="600" w:hanging="360"/>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1    How, if at all, should Mr. Harrold’s personal opinion about protesting the national anthem or Pledge of Allegiance inform how he responds to the student’s question at the end of the case?</w:t>
      </w:r>
    </w:p>
    <w:p w:rsidR="0081110B" w:rsidRPr="0081110B" w:rsidRDefault="0081110B" w:rsidP="0081110B">
      <w:pPr>
        <w:spacing w:after="100" w:afterAutospacing="1" w:line="240" w:lineRule="auto"/>
        <w:ind w:left="600" w:hanging="360"/>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lastRenderedPageBreak/>
        <w:t>2    Should teachers address social or political issues mentioned during casual conversations by students? Should they address these issues even if doing so cuts into instructional time for the planned lesson?</w:t>
      </w:r>
    </w:p>
    <w:p w:rsidR="0081110B" w:rsidRPr="0081110B" w:rsidRDefault="0081110B" w:rsidP="0081110B">
      <w:pPr>
        <w:spacing w:after="100" w:afterAutospacing="1" w:line="240" w:lineRule="auto"/>
        <w:ind w:left="600" w:hanging="360"/>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3    One of Kate’s reasons for not standing during the Pledge was that she didn’t feel the words accurately represented everyone’s reality. What are other reasons people might feel compelled to not stand during the national anthem or Pledge of Allegiance?</w:t>
      </w:r>
    </w:p>
    <w:p w:rsidR="0081110B" w:rsidRPr="0081110B" w:rsidRDefault="0081110B" w:rsidP="0081110B">
      <w:pPr>
        <w:spacing w:after="0" w:line="240" w:lineRule="auto"/>
        <w:rPr>
          <w:rFonts w:ascii="Times New Roman" w:eastAsia="Times New Roman" w:hAnsi="Times New Roman" w:cs="Times New Roman"/>
          <w:sz w:val="24"/>
          <w:szCs w:val="24"/>
        </w:rPr>
      </w:pPr>
      <w:r w:rsidRPr="0081110B">
        <w:rPr>
          <w:rFonts w:ascii="Times New Roman" w:eastAsia="Times New Roman" w:hAnsi="Times New Roman" w:cs="Times New Roman"/>
          <w:sz w:val="24"/>
          <w:szCs w:val="24"/>
        </w:rPr>
        <w:pict>
          <v:rect id="_x0000_i1025" style="width:0;height:1.5pt" o:hralign="center" o:hrstd="t" o:hrnoshade="t" o:hr="t" fillcolor="black" stroked="f"/>
        </w:pict>
      </w:r>
    </w:p>
    <w:p w:rsidR="0081110B" w:rsidRPr="0081110B" w:rsidRDefault="0081110B" w:rsidP="0081110B">
      <w:pPr>
        <w:spacing w:before="100" w:beforeAutospacing="1" w:after="100" w:afterAutospacing="1" w:line="240" w:lineRule="auto"/>
        <w:rPr>
          <w:rFonts w:ascii="ACaslonPro-Semibold" w:eastAsia="Times New Roman" w:hAnsi="ACaslonPro-Semibold" w:cs="Times New Roman"/>
          <w:color w:val="000000"/>
          <w:sz w:val="31"/>
          <w:szCs w:val="31"/>
        </w:rPr>
      </w:pPr>
      <w:hyperlink r:id="rId5" w:anchor="rcase5.2" w:history="1">
        <w:r w:rsidRPr="0081110B">
          <w:rPr>
            <w:rFonts w:ascii="ACaslonPro-Semibold" w:eastAsia="Times New Roman" w:hAnsi="ACaslonPro-Semibold" w:cs="Times New Roman"/>
            <w:color w:val="0000FF"/>
            <w:sz w:val="31"/>
            <w:szCs w:val="31"/>
            <w:u w:val="single"/>
          </w:rPr>
          <w:t>CASE 5.2: NOT TIME FOR STORIES</w:t>
        </w:r>
      </w:hyperlink>
    </w:p>
    <w:p w:rsidR="0081110B" w:rsidRPr="0081110B" w:rsidRDefault="0081110B" w:rsidP="0081110B">
      <w:pPr>
        <w:spacing w:before="100" w:beforeAutospacing="1" w:after="100" w:afterAutospacing="1" w:line="240" w:lineRule="auto"/>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Ms. Ward loved geography. She inspired and motivated students by telling them they were learning material typically reserved for older students.</w:t>
      </w:r>
    </w:p>
    <w:p w:rsidR="0081110B" w:rsidRPr="0081110B" w:rsidRDefault="0081110B" w:rsidP="0081110B">
      <w:pPr>
        <w:spacing w:before="300" w:after="300" w:line="240" w:lineRule="auto"/>
        <w:jc w:val="right"/>
        <w:rPr>
          <w:rFonts w:ascii="ACaslonPro-Regular" w:eastAsia="Times New Roman" w:hAnsi="ACaslonPro-Regular" w:cs="Times New Roman"/>
          <w:color w:val="97A4AA"/>
          <w:sz w:val="18"/>
          <w:szCs w:val="18"/>
        </w:rPr>
      </w:pPr>
      <w:r w:rsidRPr="0081110B">
        <w:rPr>
          <w:rFonts w:ascii="ACaslonPro-Regular" w:eastAsia="Times New Roman" w:hAnsi="ACaslonPro-Regular" w:cs="Times New Roman"/>
          <w:color w:val="97A4AA"/>
          <w:sz w:val="18"/>
          <w:szCs w:val="18"/>
          <w:highlight w:val="yellow"/>
        </w:rPr>
        <w:t>p.41</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The first unit Ms. Ward planned for the new school year focused on California. Although Rustin School, where Ms. Ward taught, was in the Midwest, she thought it would be a fun state with which to kick off the year. Students at Rustin represented a wide range of socioeconomic and racial diversity, but she knew many of them were interested in ocean beaches. California, in her mind, fit well with this theme.</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Ms. Ward gathered her students on the carpet and began writing on a flip chart. Several students whispered excitedly as she wrote “California” at the top of the sheet. Although Ms. Ward was happy to see their excitement, she reminded them to remain quiet and raise their hands if they had something to say. Immediately several hands flew up.</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 xml:space="preserve">“Are we going to learn about California?” </w:t>
      </w:r>
      <w:proofErr w:type="spellStart"/>
      <w:r w:rsidRPr="0081110B">
        <w:rPr>
          <w:rFonts w:ascii="ACaslonPro-Regular" w:eastAsia="Times New Roman" w:hAnsi="ACaslonPro-Regular" w:cs="Times New Roman"/>
          <w:color w:val="000000"/>
          <w:sz w:val="24"/>
          <w:szCs w:val="24"/>
        </w:rPr>
        <w:t>Maddy</w:t>
      </w:r>
      <w:proofErr w:type="spellEnd"/>
      <w:r w:rsidRPr="0081110B">
        <w:rPr>
          <w:rFonts w:ascii="ACaslonPro-Regular" w:eastAsia="Times New Roman" w:hAnsi="ACaslonPro-Regular" w:cs="Times New Roman"/>
          <w:color w:val="000000"/>
          <w:sz w:val="24"/>
          <w:szCs w:val="24"/>
        </w:rPr>
        <w:t xml:space="preserve"> asked.</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“Yes,” Ms. Ward replied. “We will be learning about California in many of our subjects throughout the week.” Students chattered excitedly again and Ms. Ward reminded them to remain quiet: “I cannot understand you if so many of you talk at once.”</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 xml:space="preserve">After explaining the </w:t>
      </w:r>
      <w:proofErr w:type="gramStart"/>
      <w:r w:rsidRPr="0081110B">
        <w:rPr>
          <w:rFonts w:ascii="ACaslonPro-Regular" w:eastAsia="Times New Roman" w:hAnsi="ACaslonPro-Regular" w:cs="Times New Roman"/>
          <w:color w:val="000000"/>
          <w:sz w:val="24"/>
          <w:szCs w:val="24"/>
        </w:rPr>
        <w:t>unit</w:t>
      </w:r>
      <w:proofErr w:type="gramEnd"/>
      <w:r w:rsidRPr="0081110B">
        <w:rPr>
          <w:rFonts w:ascii="ACaslonPro-Regular" w:eastAsia="Times New Roman" w:hAnsi="ACaslonPro-Regular" w:cs="Times New Roman"/>
          <w:color w:val="000000"/>
          <w:sz w:val="24"/>
          <w:szCs w:val="24"/>
        </w:rPr>
        <w:t xml:space="preserve"> a bit more, Ms. Ward asked who had been to California. </w:t>
      </w:r>
      <w:proofErr w:type="spellStart"/>
      <w:r w:rsidRPr="0081110B">
        <w:rPr>
          <w:rFonts w:ascii="ACaslonPro-Regular" w:eastAsia="Times New Roman" w:hAnsi="ACaslonPro-Regular" w:cs="Times New Roman"/>
          <w:color w:val="000000"/>
          <w:sz w:val="24"/>
          <w:szCs w:val="24"/>
        </w:rPr>
        <w:t>DeQuan</w:t>
      </w:r>
      <w:proofErr w:type="spellEnd"/>
      <w:r w:rsidRPr="0081110B">
        <w:rPr>
          <w:rFonts w:ascii="ACaslonPro-Regular" w:eastAsia="Times New Roman" w:hAnsi="ACaslonPro-Regular" w:cs="Times New Roman"/>
          <w:color w:val="000000"/>
          <w:sz w:val="24"/>
          <w:szCs w:val="24"/>
        </w:rPr>
        <w:t xml:space="preserve"> raised his hand. When Ms. Ward called on him he said, “A few days ago, I was at my grandmother’s house watching television with my little sister, but she was crying so I couldn’t hear very well. I told her to be quiet and gave her a toy to play with because the person on TV</w:t>
      </w:r>
      <w:proofErr w:type="gramStart"/>
      <w:r w:rsidRPr="0081110B">
        <w:rPr>
          <w:rFonts w:ascii="ACaslonPro-Regular" w:eastAsia="Times New Roman" w:hAnsi="ACaslonPro-Regular" w:cs="Times New Roman"/>
          <w:color w:val="000000"/>
          <w:sz w:val="24"/>
          <w:szCs w:val="24"/>
        </w:rPr>
        <w:t>. .</w:t>
      </w:r>
      <w:proofErr w:type="gramEnd"/>
      <w:r w:rsidRPr="0081110B">
        <w:rPr>
          <w:rFonts w:ascii="ACaslonPro-Regular" w:eastAsia="Times New Roman" w:hAnsi="ACaslonPro-Regular" w:cs="Times New Roman"/>
          <w:color w:val="000000"/>
          <w:sz w:val="24"/>
          <w:szCs w:val="24"/>
        </w:rPr>
        <w:t> .”</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 xml:space="preserve">Ms. Ward interrupted </w:t>
      </w:r>
      <w:proofErr w:type="spellStart"/>
      <w:r w:rsidRPr="0081110B">
        <w:rPr>
          <w:rFonts w:ascii="ACaslonPro-Regular" w:eastAsia="Times New Roman" w:hAnsi="ACaslonPro-Regular" w:cs="Times New Roman"/>
          <w:color w:val="000000"/>
          <w:sz w:val="24"/>
          <w:szCs w:val="24"/>
        </w:rPr>
        <w:t>DeQuan</w:t>
      </w:r>
      <w:proofErr w:type="spellEnd"/>
      <w:r w:rsidRPr="0081110B">
        <w:rPr>
          <w:rFonts w:ascii="ACaslonPro-Regular" w:eastAsia="Times New Roman" w:hAnsi="ACaslonPro-Regular" w:cs="Times New Roman"/>
          <w:color w:val="000000"/>
          <w:sz w:val="24"/>
          <w:szCs w:val="24"/>
        </w:rPr>
        <w:t xml:space="preserve"> and reminded him that the question she asked was who had been to California. Growing bothered by the side chatter and </w:t>
      </w:r>
      <w:proofErr w:type="spellStart"/>
      <w:r w:rsidRPr="0081110B">
        <w:rPr>
          <w:rFonts w:ascii="ACaslonPro-Regular" w:eastAsia="Times New Roman" w:hAnsi="ACaslonPro-Regular" w:cs="Times New Roman"/>
          <w:color w:val="000000"/>
          <w:sz w:val="24"/>
          <w:szCs w:val="24"/>
        </w:rPr>
        <w:t>DeQuan’s</w:t>
      </w:r>
      <w:proofErr w:type="spellEnd"/>
      <w:r w:rsidRPr="0081110B">
        <w:rPr>
          <w:rFonts w:ascii="ACaslonPro-Regular" w:eastAsia="Times New Roman" w:hAnsi="ACaslonPro-Regular" w:cs="Times New Roman"/>
          <w:color w:val="000000"/>
          <w:sz w:val="24"/>
          <w:szCs w:val="24"/>
        </w:rPr>
        <w:t xml:space="preserve"> indirect answer, she reminded the class that now was not the time for stories.</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“Please raise your hand </w:t>
      </w:r>
      <w:r w:rsidRPr="0081110B">
        <w:rPr>
          <w:rFonts w:ascii="ACaslonPro-Italic" w:eastAsia="Times New Roman" w:hAnsi="ACaslonPro-Italic" w:cs="Times New Roman"/>
          <w:color w:val="000000"/>
          <w:sz w:val="24"/>
          <w:szCs w:val="24"/>
        </w:rPr>
        <w:t>only</w:t>
      </w:r>
      <w:r w:rsidRPr="0081110B">
        <w:rPr>
          <w:rFonts w:ascii="ACaslonPro-Regular" w:eastAsia="Times New Roman" w:hAnsi="ACaslonPro-Regular" w:cs="Times New Roman"/>
          <w:color w:val="000000"/>
          <w:sz w:val="24"/>
          <w:szCs w:val="24"/>
        </w:rPr>
        <w:t xml:space="preserve"> if you can answer the question,” she said. Upon hearing this, </w:t>
      </w:r>
      <w:proofErr w:type="spellStart"/>
      <w:r w:rsidRPr="0081110B">
        <w:rPr>
          <w:rFonts w:ascii="ACaslonPro-Regular" w:eastAsia="Times New Roman" w:hAnsi="ACaslonPro-Regular" w:cs="Times New Roman"/>
          <w:color w:val="000000"/>
          <w:sz w:val="24"/>
          <w:szCs w:val="24"/>
        </w:rPr>
        <w:t>DeQuan</w:t>
      </w:r>
      <w:proofErr w:type="spellEnd"/>
      <w:r w:rsidRPr="0081110B">
        <w:rPr>
          <w:rFonts w:ascii="ACaslonPro-Regular" w:eastAsia="Times New Roman" w:hAnsi="ACaslonPro-Regular" w:cs="Times New Roman"/>
          <w:color w:val="000000"/>
          <w:sz w:val="24"/>
          <w:szCs w:val="24"/>
        </w:rPr>
        <w:t xml:space="preserve"> angrily added, “I was saying that the person on TV said the show was sponsored by a </w:t>
      </w:r>
      <w:r w:rsidRPr="0081110B">
        <w:rPr>
          <w:rFonts w:ascii="ACaslonPro-Regular" w:eastAsia="Times New Roman" w:hAnsi="ACaslonPro-Regular" w:cs="Times New Roman"/>
          <w:color w:val="000000"/>
          <w:sz w:val="24"/>
          <w:szCs w:val="24"/>
        </w:rPr>
        <w:lastRenderedPageBreak/>
        <w:t>company that makes raisins, which are my favorite snack, and that the raisins are made in California!”</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 xml:space="preserve">Ms. Ward reminded </w:t>
      </w:r>
      <w:proofErr w:type="spellStart"/>
      <w:r w:rsidRPr="0081110B">
        <w:rPr>
          <w:rFonts w:ascii="ACaslonPro-Regular" w:eastAsia="Times New Roman" w:hAnsi="ACaslonPro-Regular" w:cs="Times New Roman"/>
          <w:color w:val="000000"/>
          <w:sz w:val="24"/>
          <w:szCs w:val="24"/>
        </w:rPr>
        <w:t>DeQuan</w:t>
      </w:r>
      <w:proofErr w:type="spellEnd"/>
      <w:r w:rsidRPr="0081110B">
        <w:rPr>
          <w:rFonts w:ascii="ACaslonPro-Regular" w:eastAsia="Times New Roman" w:hAnsi="ACaslonPro-Regular" w:cs="Times New Roman"/>
          <w:color w:val="000000"/>
          <w:sz w:val="24"/>
          <w:szCs w:val="24"/>
        </w:rPr>
        <w:t xml:space="preserve"> he needed to raise his hand if he had something to say, and added that his tone was disrespectful. Attempting to refocus the group, she asked, “Has anyone been to Disneyland?” </w:t>
      </w:r>
      <w:proofErr w:type="spellStart"/>
      <w:r w:rsidRPr="0081110B">
        <w:rPr>
          <w:rFonts w:ascii="ACaslonPro-Regular" w:eastAsia="Times New Roman" w:hAnsi="ACaslonPro-Regular" w:cs="Times New Roman"/>
          <w:color w:val="000000"/>
          <w:sz w:val="24"/>
          <w:szCs w:val="24"/>
        </w:rPr>
        <w:t>Maddy</w:t>
      </w:r>
      <w:proofErr w:type="spellEnd"/>
      <w:r w:rsidRPr="0081110B">
        <w:rPr>
          <w:rFonts w:ascii="ACaslonPro-Regular" w:eastAsia="Times New Roman" w:hAnsi="ACaslonPro-Regular" w:cs="Times New Roman"/>
          <w:color w:val="000000"/>
          <w:sz w:val="24"/>
          <w:szCs w:val="24"/>
        </w:rPr>
        <w:t xml:space="preserve"> raised her hand and said, “I have. It’s in California, and it is sunny and warm there. It’s also far away because we were on the airplane for a long time.”</w:t>
      </w:r>
    </w:p>
    <w:p w:rsidR="0081110B" w:rsidRPr="0081110B" w:rsidRDefault="0081110B" w:rsidP="0081110B">
      <w:pPr>
        <w:spacing w:before="300" w:after="300" w:line="240" w:lineRule="auto"/>
        <w:jc w:val="right"/>
        <w:rPr>
          <w:rFonts w:ascii="ACaslonPro-Regular" w:eastAsia="Times New Roman" w:hAnsi="ACaslonPro-Regular" w:cs="Times New Roman"/>
          <w:color w:val="97A4AA"/>
          <w:sz w:val="18"/>
          <w:szCs w:val="18"/>
        </w:rPr>
      </w:pPr>
      <w:r w:rsidRPr="0081110B">
        <w:rPr>
          <w:rFonts w:ascii="ACaslonPro-Regular" w:eastAsia="Times New Roman" w:hAnsi="ACaslonPro-Regular" w:cs="Times New Roman"/>
          <w:color w:val="97A4AA"/>
          <w:sz w:val="18"/>
          <w:szCs w:val="18"/>
          <w:highlight w:val="yellow"/>
        </w:rPr>
        <w:t>p.42</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“You’re right,” Ms. Ward replied as she wrote “warm” and “sunny” along with the phrase “far from Rustin School” on the flip chart.</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 xml:space="preserve">“Any other words to describe California?” she asked. As several others raised their hands, Ms. Ward noticed </w:t>
      </w:r>
      <w:proofErr w:type="spellStart"/>
      <w:r w:rsidRPr="0081110B">
        <w:rPr>
          <w:rFonts w:ascii="ACaslonPro-Regular" w:eastAsia="Times New Roman" w:hAnsi="ACaslonPro-Regular" w:cs="Times New Roman"/>
          <w:color w:val="000000"/>
          <w:sz w:val="24"/>
          <w:szCs w:val="24"/>
        </w:rPr>
        <w:t>DeQuan</w:t>
      </w:r>
      <w:proofErr w:type="spellEnd"/>
      <w:r w:rsidRPr="0081110B">
        <w:rPr>
          <w:rFonts w:ascii="ACaslonPro-Regular" w:eastAsia="Times New Roman" w:hAnsi="ACaslonPro-Regular" w:cs="Times New Roman"/>
          <w:color w:val="000000"/>
          <w:sz w:val="24"/>
          <w:szCs w:val="24"/>
        </w:rPr>
        <w:t xml:space="preserve"> still looked angry. Anticipating another outburst, she cheerfully said, “</w:t>
      </w:r>
      <w:proofErr w:type="spellStart"/>
      <w:r w:rsidRPr="0081110B">
        <w:rPr>
          <w:rFonts w:ascii="ACaslonPro-Regular" w:eastAsia="Times New Roman" w:hAnsi="ACaslonPro-Regular" w:cs="Times New Roman"/>
          <w:color w:val="000000"/>
          <w:sz w:val="24"/>
          <w:szCs w:val="24"/>
        </w:rPr>
        <w:t>DeQuan</w:t>
      </w:r>
      <w:proofErr w:type="spellEnd"/>
      <w:r w:rsidRPr="0081110B">
        <w:rPr>
          <w:rFonts w:ascii="ACaslonPro-Regular" w:eastAsia="Times New Roman" w:hAnsi="ACaslonPro-Regular" w:cs="Times New Roman"/>
          <w:color w:val="000000"/>
          <w:sz w:val="24"/>
          <w:szCs w:val="24"/>
        </w:rPr>
        <w:t xml:space="preserve">, please try to compose yourself so that you can remain seated with the group.” Hearing this, </w:t>
      </w:r>
      <w:proofErr w:type="spellStart"/>
      <w:r w:rsidRPr="0081110B">
        <w:rPr>
          <w:rFonts w:ascii="ACaslonPro-Regular" w:eastAsia="Times New Roman" w:hAnsi="ACaslonPro-Regular" w:cs="Times New Roman"/>
          <w:color w:val="000000"/>
          <w:sz w:val="24"/>
          <w:szCs w:val="24"/>
        </w:rPr>
        <w:t>DeQuan</w:t>
      </w:r>
      <w:proofErr w:type="spellEnd"/>
      <w:r w:rsidRPr="0081110B">
        <w:rPr>
          <w:rFonts w:ascii="ACaslonPro-Regular" w:eastAsia="Times New Roman" w:hAnsi="ACaslonPro-Regular" w:cs="Times New Roman"/>
          <w:color w:val="000000"/>
          <w:sz w:val="24"/>
          <w:szCs w:val="24"/>
        </w:rPr>
        <w:t xml:space="preserve"> stood, walked to his desk, and slouched in his chair.</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Italic" w:eastAsia="Times New Roman" w:hAnsi="ACaslonPro-Italic" w:cs="Times New Roman"/>
          <w:color w:val="000000"/>
          <w:sz w:val="24"/>
          <w:szCs w:val="24"/>
        </w:rPr>
        <w:t>Oh no</w:t>
      </w:r>
      <w:r w:rsidRPr="0081110B">
        <w:rPr>
          <w:rFonts w:ascii="ACaslonPro-Regular" w:eastAsia="Times New Roman" w:hAnsi="ACaslonPro-Regular" w:cs="Times New Roman"/>
          <w:color w:val="000000"/>
          <w:sz w:val="24"/>
          <w:szCs w:val="24"/>
        </w:rPr>
        <w:t>, thought Ms. Ward. </w:t>
      </w:r>
      <w:r w:rsidRPr="0081110B">
        <w:rPr>
          <w:rFonts w:ascii="ACaslonPro-Italic" w:eastAsia="Times New Roman" w:hAnsi="ACaslonPro-Italic" w:cs="Times New Roman"/>
          <w:color w:val="000000"/>
          <w:sz w:val="24"/>
          <w:szCs w:val="24"/>
        </w:rPr>
        <w:t>He must not have heard me correctly</w:t>
      </w:r>
      <w:r w:rsidRPr="0081110B">
        <w:rPr>
          <w:rFonts w:ascii="ACaslonPro-Regular" w:eastAsia="Times New Roman" w:hAnsi="ACaslonPro-Regular" w:cs="Times New Roman"/>
          <w:color w:val="000000"/>
          <w:sz w:val="24"/>
          <w:szCs w:val="24"/>
        </w:rPr>
        <w:t xml:space="preserve">. Knowing time was passing quickly and that she needed to finish the lesson, Ms. Ward continued teaching but wondered how she should address </w:t>
      </w:r>
      <w:proofErr w:type="spellStart"/>
      <w:r w:rsidRPr="0081110B">
        <w:rPr>
          <w:rFonts w:ascii="ACaslonPro-Regular" w:eastAsia="Times New Roman" w:hAnsi="ACaslonPro-Regular" w:cs="Times New Roman"/>
          <w:color w:val="000000"/>
          <w:sz w:val="24"/>
          <w:szCs w:val="24"/>
        </w:rPr>
        <w:t>DeQuan</w:t>
      </w:r>
      <w:proofErr w:type="spellEnd"/>
      <w:r w:rsidRPr="0081110B">
        <w:rPr>
          <w:rFonts w:ascii="ACaslonPro-Regular" w:eastAsia="Times New Roman" w:hAnsi="ACaslonPro-Regular" w:cs="Times New Roman"/>
          <w:color w:val="000000"/>
          <w:sz w:val="24"/>
          <w:szCs w:val="24"/>
        </w:rPr>
        <w:t xml:space="preserve"> if his negative behavior persisted.</w:t>
      </w:r>
    </w:p>
    <w:p w:rsidR="0081110B" w:rsidRPr="0081110B" w:rsidRDefault="0081110B" w:rsidP="0081110B">
      <w:pPr>
        <w:spacing w:before="360" w:after="192" w:line="240" w:lineRule="auto"/>
        <w:rPr>
          <w:rFonts w:ascii="ACaslonPro-Italic" w:eastAsia="Times New Roman" w:hAnsi="ACaslonPro-Italic" w:cs="Times New Roman"/>
          <w:color w:val="000000"/>
          <w:sz w:val="29"/>
          <w:szCs w:val="29"/>
        </w:rPr>
      </w:pPr>
      <w:r w:rsidRPr="0081110B">
        <w:rPr>
          <w:rFonts w:ascii="ACaslonPro-Italic" w:eastAsia="Times New Roman" w:hAnsi="ACaslonPro-Italic" w:cs="Times New Roman"/>
          <w:color w:val="000000"/>
          <w:sz w:val="29"/>
          <w:szCs w:val="29"/>
        </w:rPr>
        <w:t>Questions</w:t>
      </w:r>
    </w:p>
    <w:p w:rsidR="0081110B" w:rsidRPr="0081110B" w:rsidRDefault="0081110B" w:rsidP="0081110B">
      <w:pPr>
        <w:spacing w:after="100" w:afterAutospacing="1" w:line="240" w:lineRule="auto"/>
        <w:ind w:left="600" w:hanging="360"/>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1    How did Ms. Ward’s behavior in this scenario fail to ensure an equitable and just learning environment for all her students?</w:t>
      </w:r>
    </w:p>
    <w:p w:rsidR="0081110B" w:rsidRPr="0081110B" w:rsidRDefault="0081110B" w:rsidP="0081110B">
      <w:pPr>
        <w:spacing w:after="100" w:afterAutospacing="1" w:line="240" w:lineRule="auto"/>
        <w:ind w:left="600" w:hanging="360"/>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 xml:space="preserve">2    What differences can you identify in </w:t>
      </w:r>
      <w:proofErr w:type="spellStart"/>
      <w:r w:rsidRPr="0081110B">
        <w:rPr>
          <w:rFonts w:ascii="ACaslonPro-Regular" w:eastAsia="Times New Roman" w:hAnsi="ACaslonPro-Regular" w:cs="Times New Roman"/>
          <w:color w:val="000000"/>
          <w:sz w:val="24"/>
          <w:szCs w:val="24"/>
        </w:rPr>
        <w:t>Maddy’s</w:t>
      </w:r>
      <w:proofErr w:type="spellEnd"/>
      <w:r w:rsidRPr="0081110B">
        <w:rPr>
          <w:rFonts w:ascii="ACaslonPro-Regular" w:eastAsia="Times New Roman" w:hAnsi="ACaslonPro-Regular" w:cs="Times New Roman"/>
          <w:color w:val="000000"/>
          <w:sz w:val="24"/>
          <w:szCs w:val="24"/>
        </w:rPr>
        <w:t xml:space="preserve"> and </w:t>
      </w:r>
      <w:proofErr w:type="spellStart"/>
      <w:r w:rsidRPr="0081110B">
        <w:rPr>
          <w:rFonts w:ascii="ACaslonPro-Regular" w:eastAsia="Times New Roman" w:hAnsi="ACaslonPro-Regular" w:cs="Times New Roman"/>
          <w:color w:val="000000"/>
          <w:sz w:val="24"/>
          <w:szCs w:val="24"/>
        </w:rPr>
        <w:t>DeQuan’s</w:t>
      </w:r>
      <w:proofErr w:type="spellEnd"/>
      <w:r w:rsidRPr="0081110B">
        <w:rPr>
          <w:rFonts w:ascii="ACaslonPro-Regular" w:eastAsia="Times New Roman" w:hAnsi="ACaslonPro-Regular" w:cs="Times New Roman"/>
          <w:color w:val="000000"/>
          <w:sz w:val="24"/>
          <w:szCs w:val="24"/>
        </w:rPr>
        <w:t xml:space="preserve"> responses to their teacher’s question? What similarities can you identify?</w:t>
      </w:r>
    </w:p>
    <w:p w:rsidR="0081110B" w:rsidRPr="0081110B" w:rsidRDefault="0081110B" w:rsidP="0081110B">
      <w:pPr>
        <w:spacing w:after="100" w:afterAutospacing="1" w:line="240" w:lineRule="auto"/>
        <w:ind w:left="600" w:hanging="360"/>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 xml:space="preserve">3    In anticipation of another “outburst,” Ms. Ward gave </w:t>
      </w:r>
      <w:proofErr w:type="spellStart"/>
      <w:r w:rsidRPr="0081110B">
        <w:rPr>
          <w:rFonts w:ascii="ACaslonPro-Regular" w:eastAsia="Times New Roman" w:hAnsi="ACaslonPro-Regular" w:cs="Times New Roman"/>
          <w:color w:val="000000"/>
          <w:sz w:val="24"/>
          <w:szCs w:val="24"/>
        </w:rPr>
        <w:t>DeQuan</w:t>
      </w:r>
      <w:proofErr w:type="spellEnd"/>
      <w:r w:rsidRPr="0081110B">
        <w:rPr>
          <w:rFonts w:ascii="ACaslonPro-Regular" w:eastAsia="Times New Roman" w:hAnsi="ACaslonPro-Regular" w:cs="Times New Roman"/>
          <w:color w:val="000000"/>
          <w:sz w:val="24"/>
          <w:szCs w:val="24"/>
        </w:rPr>
        <w:t xml:space="preserve"> some instructions. What might have caused </w:t>
      </w:r>
      <w:proofErr w:type="spellStart"/>
      <w:r w:rsidRPr="0081110B">
        <w:rPr>
          <w:rFonts w:ascii="ACaslonPro-Regular" w:eastAsia="Times New Roman" w:hAnsi="ACaslonPro-Regular" w:cs="Times New Roman"/>
          <w:color w:val="000000"/>
          <w:sz w:val="24"/>
          <w:szCs w:val="24"/>
        </w:rPr>
        <w:t>DeQuan</w:t>
      </w:r>
      <w:proofErr w:type="spellEnd"/>
      <w:r w:rsidRPr="0081110B">
        <w:rPr>
          <w:rFonts w:ascii="ACaslonPro-Regular" w:eastAsia="Times New Roman" w:hAnsi="ACaslonPro-Regular" w:cs="Times New Roman"/>
          <w:color w:val="000000"/>
          <w:sz w:val="24"/>
          <w:szCs w:val="24"/>
        </w:rPr>
        <w:t xml:space="preserve"> to react the way he did? What long-term effects can result if Ms. Ward does not remedy the situation?</w:t>
      </w:r>
    </w:p>
    <w:p w:rsidR="0081110B" w:rsidRPr="0081110B" w:rsidRDefault="0081110B" w:rsidP="0081110B">
      <w:pPr>
        <w:spacing w:after="0" w:line="240" w:lineRule="auto"/>
        <w:rPr>
          <w:rFonts w:ascii="Times New Roman" w:eastAsia="Times New Roman" w:hAnsi="Times New Roman" w:cs="Times New Roman"/>
          <w:sz w:val="24"/>
          <w:szCs w:val="24"/>
        </w:rPr>
      </w:pPr>
      <w:r w:rsidRPr="0081110B">
        <w:rPr>
          <w:rFonts w:ascii="Times New Roman" w:eastAsia="Times New Roman" w:hAnsi="Times New Roman" w:cs="Times New Roman"/>
          <w:sz w:val="24"/>
          <w:szCs w:val="24"/>
        </w:rPr>
        <w:pict>
          <v:rect id="_x0000_i1026" style="width:0;height:1.5pt" o:hralign="center" o:hrstd="t" o:hrnoshade="t" o:hr="t" fillcolor="black" stroked="f"/>
        </w:pict>
      </w:r>
    </w:p>
    <w:p w:rsidR="0081110B" w:rsidRPr="0081110B" w:rsidRDefault="0081110B" w:rsidP="0081110B">
      <w:pPr>
        <w:spacing w:before="100" w:beforeAutospacing="1" w:after="100" w:afterAutospacing="1" w:line="240" w:lineRule="auto"/>
        <w:rPr>
          <w:rFonts w:ascii="ACaslonPro-Semibold" w:eastAsia="Times New Roman" w:hAnsi="ACaslonPro-Semibold" w:cs="Times New Roman"/>
          <w:color w:val="000000"/>
          <w:sz w:val="31"/>
          <w:szCs w:val="31"/>
        </w:rPr>
      </w:pPr>
      <w:hyperlink r:id="rId6" w:anchor="rcase5.3" w:history="1">
        <w:r w:rsidRPr="0081110B">
          <w:rPr>
            <w:rFonts w:ascii="ACaslonPro-Semibold" w:eastAsia="Times New Roman" w:hAnsi="ACaslonPro-Semibold" w:cs="Times New Roman"/>
            <w:color w:val="0000FF"/>
            <w:sz w:val="31"/>
            <w:szCs w:val="31"/>
            <w:u w:val="single"/>
          </w:rPr>
          <w:t>CASE 5.3: TEACHING THANKSGIVING</w:t>
        </w:r>
      </w:hyperlink>
    </w:p>
    <w:p w:rsidR="0081110B" w:rsidRPr="0081110B" w:rsidRDefault="0081110B" w:rsidP="0081110B">
      <w:pPr>
        <w:spacing w:before="100" w:beforeAutospacing="1" w:after="100" w:afterAutospacing="1" w:line="240" w:lineRule="auto"/>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Ms. Porter raised her hand nervously. It was the beginning of her school’s staff meeting and her principal, Ms. Chang, had asked if anybody wanted to add new items to the agenda. “I’d like to talk about how we plan to teach about the upcoming Thanksgiving holiday,” Ms. Porter said.</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Several colleagues responded.</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“I don’t plan to talk about it at all. Thanksgiving seems to be more about consumerism than spending time with family,” Mr. Espinosa said.</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lastRenderedPageBreak/>
        <w:t xml:space="preserve">Ms. </w:t>
      </w:r>
      <w:proofErr w:type="spellStart"/>
      <w:r w:rsidRPr="0081110B">
        <w:rPr>
          <w:rFonts w:ascii="ACaslonPro-Regular" w:eastAsia="Times New Roman" w:hAnsi="ACaslonPro-Regular" w:cs="Times New Roman"/>
          <w:color w:val="000000"/>
          <w:sz w:val="24"/>
          <w:szCs w:val="24"/>
        </w:rPr>
        <w:t>Tilson</w:t>
      </w:r>
      <w:proofErr w:type="spellEnd"/>
      <w:r w:rsidRPr="0081110B">
        <w:rPr>
          <w:rFonts w:ascii="ACaslonPro-Regular" w:eastAsia="Times New Roman" w:hAnsi="ACaslonPro-Regular" w:cs="Times New Roman"/>
          <w:color w:val="000000"/>
          <w:sz w:val="24"/>
          <w:szCs w:val="24"/>
        </w:rPr>
        <w:t xml:space="preserve"> commented, “I focus on food. Students are really engaged when we talk about food. We’ll talk about how the Pilgrims and Indians shared a feast, and since some of our students are immigrants, we can use it as an opportunity to learn about traditional foods.”</w:t>
      </w:r>
    </w:p>
    <w:p w:rsidR="0081110B" w:rsidRPr="0081110B" w:rsidRDefault="0081110B" w:rsidP="0081110B">
      <w:pPr>
        <w:spacing w:before="300" w:after="300" w:line="240" w:lineRule="auto"/>
        <w:jc w:val="right"/>
        <w:rPr>
          <w:rFonts w:ascii="ACaslonPro-Regular" w:eastAsia="Times New Roman" w:hAnsi="ACaslonPro-Regular" w:cs="Times New Roman"/>
          <w:color w:val="97A4AA"/>
          <w:sz w:val="18"/>
          <w:szCs w:val="18"/>
        </w:rPr>
      </w:pPr>
      <w:r w:rsidRPr="0081110B">
        <w:rPr>
          <w:rFonts w:ascii="ACaslonPro-Regular" w:eastAsia="Times New Roman" w:hAnsi="ACaslonPro-Regular" w:cs="Times New Roman"/>
          <w:color w:val="97A4AA"/>
          <w:sz w:val="18"/>
          <w:szCs w:val="18"/>
          <w:highlight w:val="yellow"/>
        </w:rPr>
        <w:t>p.43</w:t>
      </w:r>
      <w:bookmarkStart w:id="0" w:name="_GoBack"/>
      <w:bookmarkEnd w:id="0"/>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“I focus on the Thanks in Thanksgiving,” Mr. Webster added. “We all have so much to be thankful for. I like to focus on the positive.”</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Ms. Chang replied, “Seems we have a variety of ways to honor the holiday. I don’t think we need any more conversation on this unless you have questions.”</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Ms. Porter’s mind was most concerned with what her colleagues were not intending to talk about. She anxiously wondered how she could emphasize the importance of discussing American Indian perspectives with students without offending her colleagues. “Well,” she said, “I’m concerned with how we are perpetuating myths about the first Thanksgiving. I’m concerned we are not acknowledging that some Indigenous people observe this day as a day of mourning, not as a celebration. This is a great opportunity to promote dialogue within the school community about popular customs that might alienate some students and families, such as pretending to be Pilgrims and Indians.”</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As she heard these words coming out of her mouth, Ms. Porter felt a wave of relief and regret. She was bothered by the way many of her colleagues had addressed Thanksgiving in previous years but never felt comfortable speaking up.</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 xml:space="preserve">“We have so many needs in our school. I don’t think we should micromanage how people teach Thanksgiving. We don’t even have any of those students in our school,” Ms. </w:t>
      </w:r>
      <w:proofErr w:type="spellStart"/>
      <w:r w:rsidRPr="0081110B">
        <w:rPr>
          <w:rFonts w:ascii="ACaslonPro-Regular" w:eastAsia="Times New Roman" w:hAnsi="ACaslonPro-Regular" w:cs="Times New Roman"/>
          <w:color w:val="000000"/>
          <w:sz w:val="24"/>
          <w:szCs w:val="24"/>
        </w:rPr>
        <w:t>Tilson</w:t>
      </w:r>
      <w:proofErr w:type="spellEnd"/>
      <w:r w:rsidRPr="0081110B">
        <w:rPr>
          <w:rFonts w:ascii="ACaslonPro-Regular" w:eastAsia="Times New Roman" w:hAnsi="ACaslonPro-Regular" w:cs="Times New Roman"/>
          <w:color w:val="000000"/>
          <w:sz w:val="24"/>
          <w:szCs w:val="24"/>
        </w:rPr>
        <w:t xml:space="preserve"> said.</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Ms. Chang, sensing tension in the room, replied, “You all have great points. Thank you for sharing them. It seems this is a larger topic than we have time to discuss now. Maybe those of you who are interested in exploring it further can create a presentation for one of our professional development days in the spring.” With that comment, she moved to the next item on the agenda.</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Ms. Porter looked around the room, frustrated by her colleagues’ comments, and that nobody else spoke up or supported her for speaking up. She knew everyone felt overwhelmed with work as holiday breaks. She doubted anyone would volunteer to develop a presentation after the holidays passed.</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“There goes another year,” she thought to herself.</w:t>
      </w:r>
    </w:p>
    <w:p w:rsidR="0081110B" w:rsidRPr="0081110B" w:rsidRDefault="0081110B" w:rsidP="0081110B">
      <w:pPr>
        <w:spacing w:before="300" w:after="300" w:line="240" w:lineRule="auto"/>
        <w:jc w:val="right"/>
        <w:rPr>
          <w:rFonts w:ascii="ACaslonPro-Regular" w:eastAsia="Times New Roman" w:hAnsi="ACaslonPro-Regular" w:cs="Times New Roman"/>
          <w:color w:val="97A4AA"/>
          <w:sz w:val="18"/>
          <w:szCs w:val="18"/>
        </w:rPr>
      </w:pPr>
      <w:r w:rsidRPr="0081110B">
        <w:rPr>
          <w:rFonts w:ascii="ACaslonPro-Regular" w:eastAsia="Times New Roman" w:hAnsi="ACaslonPro-Regular" w:cs="Times New Roman"/>
          <w:color w:val="97A4AA"/>
          <w:sz w:val="18"/>
          <w:szCs w:val="18"/>
        </w:rPr>
        <w:t>p.44</w:t>
      </w:r>
    </w:p>
    <w:p w:rsidR="0081110B" w:rsidRPr="0081110B" w:rsidRDefault="0081110B" w:rsidP="0081110B">
      <w:pPr>
        <w:spacing w:before="360" w:after="192" w:line="240" w:lineRule="auto"/>
        <w:rPr>
          <w:rFonts w:ascii="ACaslonPro-Italic" w:eastAsia="Times New Roman" w:hAnsi="ACaslonPro-Italic" w:cs="Times New Roman"/>
          <w:color w:val="000000"/>
          <w:sz w:val="29"/>
          <w:szCs w:val="29"/>
        </w:rPr>
      </w:pPr>
      <w:r w:rsidRPr="0081110B">
        <w:rPr>
          <w:rFonts w:ascii="ACaslonPro-Italic" w:eastAsia="Times New Roman" w:hAnsi="ACaslonPro-Italic" w:cs="Times New Roman"/>
          <w:color w:val="000000"/>
          <w:sz w:val="29"/>
          <w:szCs w:val="29"/>
        </w:rPr>
        <w:t>Questions</w:t>
      </w:r>
    </w:p>
    <w:p w:rsidR="0081110B" w:rsidRPr="0081110B" w:rsidRDefault="0081110B" w:rsidP="0081110B">
      <w:pPr>
        <w:spacing w:after="100" w:afterAutospacing="1" w:line="240" w:lineRule="auto"/>
        <w:ind w:left="600" w:hanging="360"/>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1    Which character in this scenario most resonates with you? Why?</w:t>
      </w:r>
    </w:p>
    <w:p w:rsidR="0081110B" w:rsidRPr="0081110B" w:rsidRDefault="0081110B" w:rsidP="0081110B">
      <w:pPr>
        <w:spacing w:after="100" w:afterAutospacing="1" w:line="240" w:lineRule="auto"/>
        <w:ind w:left="600" w:hanging="360"/>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lastRenderedPageBreak/>
        <w:t>2    Do teachers have an obligation to incorporate multiple perspectives when discussing holidays? Is this dependent on which identity groups are represented in the student population?</w:t>
      </w:r>
    </w:p>
    <w:p w:rsidR="0081110B" w:rsidRPr="0081110B" w:rsidRDefault="0081110B" w:rsidP="0081110B">
      <w:pPr>
        <w:spacing w:after="100" w:afterAutospacing="1" w:line="240" w:lineRule="auto"/>
        <w:ind w:left="600" w:hanging="360"/>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3    How should this situation be addressed before another Thanksgiving passes?</w:t>
      </w:r>
    </w:p>
    <w:p w:rsidR="0081110B" w:rsidRPr="0081110B" w:rsidRDefault="0081110B" w:rsidP="0081110B">
      <w:pPr>
        <w:spacing w:after="0" w:line="240" w:lineRule="auto"/>
        <w:rPr>
          <w:rFonts w:ascii="Times New Roman" w:eastAsia="Times New Roman" w:hAnsi="Times New Roman" w:cs="Times New Roman"/>
          <w:sz w:val="24"/>
          <w:szCs w:val="24"/>
        </w:rPr>
      </w:pPr>
      <w:r w:rsidRPr="0081110B">
        <w:rPr>
          <w:rFonts w:ascii="Times New Roman" w:eastAsia="Times New Roman" w:hAnsi="Times New Roman" w:cs="Times New Roman"/>
          <w:sz w:val="24"/>
          <w:szCs w:val="24"/>
        </w:rPr>
        <w:pict>
          <v:rect id="_x0000_i1027" style="width:0;height:1.5pt" o:hralign="center" o:hrstd="t" o:hrnoshade="t" o:hr="t" fillcolor="black" stroked="f"/>
        </w:pict>
      </w:r>
    </w:p>
    <w:p w:rsidR="0081110B" w:rsidRPr="0081110B" w:rsidRDefault="0081110B" w:rsidP="0081110B">
      <w:pPr>
        <w:spacing w:before="100" w:beforeAutospacing="1" w:after="100" w:afterAutospacing="1" w:line="240" w:lineRule="auto"/>
        <w:rPr>
          <w:rFonts w:ascii="ACaslonPro-Semibold" w:eastAsia="Times New Roman" w:hAnsi="ACaslonPro-Semibold" w:cs="Times New Roman"/>
          <w:color w:val="000000"/>
          <w:sz w:val="31"/>
          <w:szCs w:val="31"/>
        </w:rPr>
      </w:pPr>
      <w:hyperlink r:id="rId7" w:anchor="rcase5.4" w:history="1">
        <w:r w:rsidRPr="0081110B">
          <w:rPr>
            <w:rFonts w:ascii="ACaslonPro-Semibold" w:eastAsia="Times New Roman" w:hAnsi="ACaslonPro-Semibold" w:cs="Times New Roman"/>
            <w:color w:val="0000FF"/>
            <w:sz w:val="31"/>
            <w:szCs w:val="31"/>
            <w:u w:val="single"/>
          </w:rPr>
          <w:t>CASE 5.4: MULTICULTURAL DAY PARADE</w:t>
        </w:r>
      </w:hyperlink>
    </w:p>
    <w:p w:rsidR="0081110B" w:rsidRPr="0081110B" w:rsidRDefault="0081110B" w:rsidP="0081110B">
      <w:pPr>
        <w:spacing w:before="100" w:beforeAutospacing="1" w:after="100" w:afterAutospacing="1" w:line="240" w:lineRule="auto"/>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In an effort to celebrate the growing racial and ethnic diversity at Eastern School, the school’s Diversity Committee decided to sponsor Multicultural Day. Numerous performers were hired for assemblies and presentations. During the day’s feature event, the “Culture Parade,” students were asked to showcase cultural clothing as they walked through the hallways. Teachers were encouraged by the committee to discuss clothing from countries outside the United States and to invite students who had such clothing to bring it to school for the parade.</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Ms. Morrison was excited about Multicultural Day because many of her students had parents who were immigrants. She imagined the day as an opportunity for those students to teach others about their cultures.</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A week before the event, Ms. Morrison brought a kilt to class and explained its significance to the students. “This represents my Scottish heritage,” she said, “and I am proud to show it to you today.” She then asked whether students had “special costumes” at home that represented their cultures. Several students raised their hands, which prompted Ms. Morrison to discuss the events planned for Multicultural Day, including the parade.</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During dismissal the day before the parade Ms. Morrison announced, “Don’t forget to bring your costumes to class tomorrow!”</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The next day, Ms. Morrison was pleased to see several Hmong and Liberian students came with bags of clothing. She saw that two other students, Emily and Keisha, brought clothing, so she inquired about what was in their bags. Emily, a white student, excitedly pulled out her soccer uniform, and Keisha, an African American student, pulled jeans and her favorite sweatshirt out of her bag. Ms. Morrison told the two girls she appreciated their enthusiasm for Multicultural Day but that they would not be able to walk in the parade. She explained that what Keisha and Emily brought was everyday clothing rather than clothes that represented their ethnic heritages.</w:t>
      </w:r>
    </w:p>
    <w:p w:rsidR="0081110B" w:rsidRPr="0081110B" w:rsidRDefault="0081110B" w:rsidP="0081110B">
      <w:pPr>
        <w:spacing w:before="300" w:after="300" w:line="240" w:lineRule="auto"/>
        <w:jc w:val="right"/>
        <w:rPr>
          <w:rFonts w:ascii="ACaslonPro-Regular" w:eastAsia="Times New Roman" w:hAnsi="ACaslonPro-Regular" w:cs="Times New Roman"/>
          <w:color w:val="97A4AA"/>
          <w:sz w:val="18"/>
          <w:szCs w:val="18"/>
        </w:rPr>
      </w:pPr>
      <w:r w:rsidRPr="0081110B">
        <w:rPr>
          <w:rFonts w:ascii="ACaslonPro-Regular" w:eastAsia="Times New Roman" w:hAnsi="ACaslonPro-Regular" w:cs="Times New Roman"/>
          <w:color w:val="97A4AA"/>
          <w:sz w:val="18"/>
          <w:szCs w:val="18"/>
        </w:rPr>
        <w:t>p.45</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Both girls protested. “This outfit represents my culture,” Keisha argued.</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Ms. Morrison shared with the girls that she felt terrible about the confusion, but could not allow them to participate. “Maybe next year they’ll expand the parade,” she said.</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lastRenderedPageBreak/>
        <w:t>After the girls walked away, Ms. Morrison considered changing her mind. She worried, though, that other students or staff would be puzzled by their participation and that Keisha and Emily would be ridiculed for not following directions.</w:t>
      </w:r>
    </w:p>
    <w:p w:rsidR="0081110B" w:rsidRPr="0081110B" w:rsidRDefault="0081110B" w:rsidP="0081110B">
      <w:pPr>
        <w:spacing w:before="360" w:after="192" w:line="240" w:lineRule="auto"/>
        <w:rPr>
          <w:rFonts w:ascii="ACaslonPro-Italic" w:eastAsia="Times New Roman" w:hAnsi="ACaslonPro-Italic" w:cs="Times New Roman"/>
          <w:color w:val="000000"/>
          <w:sz w:val="29"/>
          <w:szCs w:val="29"/>
        </w:rPr>
      </w:pPr>
      <w:r w:rsidRPr="0081110B">
        <w:rPr>
          <w:rFonts w:ascii="ACaslonPro-Italic" w:eastAsia="Times New Roman" w:hAnsi="ACaslonPro-Italic" w:cs="Times New Roman"/>
          <w:color w:val="000000"/>
          <w:sz w:val="29"/>
          <w:szCs w:val="29"/>
        </w:rPr>
        <w:t>Questions</w:t>
      </w:r>
    </w:p>
    <w:p w:rsidR="0081110B" w:rsidRPr="0081110B" w:rsidRDefault="0081110B" w:rsidP="0081110B">
      <w:pPr>
        <w:spacing w:after="100" w:afterAutospacing="1" w:line="240" w:lineRule="auto"/>
        <w:ind w:left="600" w:hanging="360"/>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1    What images come to mind when you hear the term “costume”? In what ways might it be considered demeaning?</w:t>
      </w:r>
    </w:p>
    <w:p w:rsidR="0081110B" w:rsidRPr="0081110B" w:rsidRDefault="0081110B" w:rsidP="0081110B">
      <w:pPr>
        <w:spacing w:after="100" w:afterAutospacing="1" w:line="240" w:lineRule="auto"/>
        <w:ind w:left="600" w:hanging="360"/>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2    Often people conflate “culture,” “ethnicity,” “heritage,” “race,” and “nationality,” or use them interchangeably. How are these concepts different from one another? Is a “Multicultural Day” different than an “International Day”?</w:t>
      </w:r>
    </w:p>
    <w:p w:rsidR="0081110B" w:rsidRPr="0081110B" w:rsidRDefault="0081110B" w:rsidP="0081110B">
      <w:pPr>
        <w:spacing w:after="100" w:afterAutospacing="1" w:line="240" w:lineRule="auto"/>
        <w:ind w:left="600" w:hanging="360"/>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3    How might activities that require students to share part of their ethnic heritage alienate students or contribute to students’ and teachers’ existing stereotypes and biases?</w:t>
      </w:r>
    </w:p>
    <w:p w:rsidR="0081110B" w:rsidRPr="0081110B" w:rsidRDefault="0081110B" w:rsidP="0081110B">
      <w:pPr>
        <w:spacing w:after="0" w:line="240" w:lineRule="auto"/>
        <w:rPr>
          <w:rFonts w:ascii="Times New Roman" w:eastAsia="Times New Roman" w:hAnsi="Times New Roman" w:cs="Times New Roman"/>
          <w:sz w:val="24"/>
          <w:szCs w:val="24"/>
        </w:rPr>
      </w:pPr>
      <w:r w:rsidRPr="0081110B">
        <w:rPr>
          <w:rFonts w:ascii="Times New Roman" w:eastAsia="Times New Roman" w:hAnsi="Times New Roman" w:cs="Times New Roman"/>
          <w:sz w:val="24"/>
          <w:szCs w:val="24"/>
        </w:rPr>
        <w:pict>
          <v:rect id="_x0000_i1028" style="width:0;height:1.5pt" o:hralign="center" o:hrstd="t" o:hrnoshade="t" o:hr="t" fillcolor="black" stroked="f"/>
        </w:pict>
      </w:r>
    </w:p>
    <w:p w:rsidR="0081110B" w:rsidRPr="0081110B" w:rsidRDefault="0081110B" w:rsidP="0081110B">
      <w:pPr>
        <w:spacing w:before="100" w:beforeAutospacing="1" w:after="100" w:afterAutospacing="1" w:line="240" w:lineRule="auto"/>
        <w:rPr>
          <w:rFonts w:ascii="ACaslonPro-Semibold" w:eastAsia="Times New Roman" w:hAnsi="ACaslonPro-Semibold" w:cs="Times New Roman"/>
          <w:color w:val="000000"/>
          <w:sz w:val="31"/>
          <w:szCs w:val="31"/>
        </w:rPr>
      </w:pPr>
      <w:hyperlink r:id="rId8" w:anchor="rcase5.5" w:history="1">
        <w:r w:rsidRPr="0081110B">
          <w:rPr>
            <w:rFonts w:ascii="ACaslonPro-Semibold" w:eastAsia="Times New Roman" w:hAnsi="ACaslonPro-Semibold" w:cs="Times New Roman"/>
            <w:color w:val="0000FF"/>
            <w:sz w:val="31"/>
            <w:szCs w:val="31"/>
            <w:u w:val="single"/>
          </w:rPr>
          <w:t>CASE 5.5: A PLACE TO STUDY</w:t>
        </w:r>
      </w:hyperlink>
    </w:p>
    <w:p w:rsidR="0081110B" w:rsidRPr="0081110B" w:rsidRDefault="0081110B" w:rsidP="0081110B">
      <w:pPr>
        <w:spacing w:before="100" w:beforeAutospacing="1" w:after="100" w:afterAutospacing="1" w:line="240" w:lineRule="auto"/>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It was Back to School Night. Ms. Grady decided over summer she wanted to cultivate better at-home study habits in students. Many families came to Ms. Grady’s classroom that night and listened as she explained how important it was for students to have a designated place at home to study and keep learning materials.</w:t>
      </w:r>
    </w:p>
    <w:p w:rsidR="0081110B" w:rsidRPr="0081110B" w:rsidRDefault="0081110B" w:rsidP="0081110B">
      <w:pPr>
        <w:spacing w:before="300" w:after="300" w:line="240" w:lineRule="auto"/>
        <w:jc w:val="right"/>
        <w:rPr>
          <w:rFonts w:ascii="ACaslonPro-Regular" w:eastAsia="Times New Roman" w:hAnsi="ACaslonPro-Regular" w:cs="Times New Roman"/>
          <w:color w:val="97A4AA"/>
          <w:sz w:val="18"/>
          <w:szCs w:val="18"/>
        </w:rPr>
      </w:pPr>
      <w:r w:rsidRPr="0081110B">
        <w:rPr>
          <w:rFonts w:ascii="ACaslonPro-Regular" w:eastAsia="Times New Roman" w:hAnsi="ACaslonPro-Regular" w:cs="Times New Roman"/>
          <w:color w:val="97A4AA"/>
          <w:sz w:val="18"/>
          <w:szCs w:val="18"/>
        </w:rPr>
        <w:t>p.46</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 xml:space="preserve">In order to motivate students, Ms. Grady purchased a pencil box for each of them to take home. She filled the boxes with writing instruments. </w:t>
      </w:r>
      <w:proofErr w:type="spellStart"/>
      <w:r w:rsidRPr="0081110B">
        <w:rPr>
          <w:rFonts w:ascii="ACaslonPro-Regular" w:eastAsia="Times New Roman" w:hAnsi="ACaslonPro-Regular" w:cs="Times New Roman"/>
          <w:color w:val="000000"/>
          <w:sz w:val="24"/>
          <w:szCs w:val="24"/>
        </w:rPr>
        <w:t>Shua</w:t>
      </w:r>
      <w:proofErr w:type="spellEnd"/>
      <w:r w:rsidRPr="0081110B">
        <w:rPr>
          <w:rFonts w:ascii="ACaslonPro-Regular" w:eastAsia="Times New Roman" w:hAnsi="ACaslonPro-Regular" w:cs="Times New Roman"/>
          <w:color w:val="000000"/>
          <w:sz w:val="24"/>
          <w:szCs w:val="24"/>
        </w:rPr>
        <w:t xml:space="preserve">, one of Ms. Grady’s students, was especially excited about the pencil box. Ms. Grady was excited for </w:t>
      </w:r>
      <w:proofErr w:type="spellStart"/>
      <w:r w:rsidRPr="0081110B">
        <w:rPr>
          <w:rFonts w:ascii="ACaslonPro-Regular" w:eastAsia="Times New Roman" w:hAnsi="ACaslonPro-Regular" w:cs="Times New Roman"/>
          <w:color w:val="000000"/>
          <w:sz w:val="24"/>
          <w:szCs w:val="24"/>
        </w:rPr>
        <w:t>Shua</w:t>
      </w:r>
      <w:proofErr w:type="spellEnd"/>
      <w:r w:rsidRPr="0081110B">
        <w:rPr>
          <w:rFonts w:ascii="ACaslonPro-Regular" w:eastAsia="Times New Roman" w:hAnsi="ACaslonPro-Regular" w:cs="Times New Roman"/>
          <w:color w:val="000000"/>
          <w:sz w:val="24"/>
          <w:szCs w:val="24"/>
        </w:rPr>
        <w:t xml:space="preserve"> because at the Back to School event, his parents seemed responsive to her suggestions.</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 xml:space="preserve">A month into the school year, Ms. Grady noticed </w:t>
      </w:r>
      <w:proofErr w:type="spellStart"/>
      <w:r w:rsidRPr="0081110B">
        <w:rPr>
          <w:rFonts w:ascii="ACaslonPro-Regular" w:eastAsia="Times New Roman" w:hAnsi="ACaslonPro-Regular" w:cs="Times New Roman"/>
          <w:color w:val="000000"/>
          <w:sz w:val="24"/>
          <w:szCs w:val="24"/>
        </w:rPr>
        <w:t>Shua</w:t>
      </w:r>
      <w:proofErr w:type="spellEnd"/>
      <w:r w:rsidRPr="0081110B">
        <w:rPr>
          <w:rFonts w:ascii="ACaslonPro-Regular" w:eastAsia="Times New Roman" w:hAnsi="ACaslonPro-Regular" w:cs="Times New Roman"/>
          <w:color w:val="000000"/>
          <w:sz w:val="24"/>
          <w:szCs w:val="24"/>
        </w:rPr>
        <w:t xml:space="preserve"> was turning in homework with food stains. She also noticed he was crossing out some answers instead of erasing them. When she asked </w:t>
      </w:r>
      <w:proofErr w:type="spellStart"/>
      <w:r w:rsidRPr="0081110B">
        <w:rPr>
          <w:rFonts w:ascii="ACaslonPro-Regular" w:eastAsia="Times New Roman" w:hAnsi="ACaslonPro-Regular" w:cs="Times New Roman"/>
          <w:color w:val="000000"/>
          <w:sz w:val="24"/>
          <w:szCs w:val="24"/>
        </w:rPr>
        <w:t>Shua</w:t>
      </w:r>
      <w:proofErr w:type="spellEnd"/>
      <w:r w:rsidRPr="0081110B">
        <w:rPr>
          <w:rFonts w:ascii="ACaslonPro-Regular" w:eastAsia="Times New Roman" w:hAnsi="ACaslonPro-Regular" w:cs="Times New Roman"/>
          <w:color w:val="000000"/>
          <w:sz w:val="24"/>
          <w:szCs w:val="24"/>
        </w:rPr>
        <w:t xml:space="preserve"> about this he explained his siblings also had been using his pencils and pens. They did not always return them, which was why he had not been using an eraser.</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 xml:space="preserve">“And the food stains?” Ms. Grady asked. </w:t>
      </w:r>
      <w:proofErr w:type="spellStart"/>
      <w:r w:rsidRPr="0081110B">
        <w:rPr>
          <w:rFonts w:ascii="ACaslonPro-Regular" w:eastAsia="Times New Roman" w:hAnsi="ACaslonPro-Regular" w:cs="Times New Roman"/>
          <w:color w:val="000000"/>
          <w:sz w:val="24"/>
          <w:szCs w:val="24"/>
        </w:rPr>
        <w:t>Shua</w:t>
      </w:r>
      <w:proofErr w:type="spellEnd"/>
      <w:r w:rsidRPr="0081110B">
        <w:rPr>
          <w:rFonts w:ascii="ACaslonPro-Regular" w:eastAsia="Times New Roman" w:hAnsi="ACaslonPro-Regular" w:cs="Times New Roman"/>
          <w:color w:val="000000"/>
          <w:sz w:val="24"/>
          <w:szCs w:val="24"/>
        </w:rPr>
        <w:t xml:space="preserve"> explained he and his older brother do homework at the kitchen table, sometimes while others were eating.</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 xml:space="preserve">Ms. Grady was sympathetic to </w:t>
      </w:r>
      <w:proofErr w:type="spellStart"/>
      <w:r w:rsidRPr="0081110B">
        <w:rPr>
          <w:rFonts w:ascii="ACaslonPro-Regular" w:eastAsia="Times New Roman" w:hAnsi="ACaslonPro-Regular" w:cs="Times New Roman"/>
          <w:color w:val="000000"/>
          <w:sz w:val="24"/>
          <w:szCs w:val="24"/>
        </w:rPr>
        <w:t>Shua’s</w:t>
      </w:r>
      <w:proofErr w:type="spellEnd"/>
      <w:r w:rsidRPr="0081110B">
        <w:rPr>
          <w:rFonts w:ascii="ACaslonPro-Regular" w:eastAsia="Times New Roman" w:hAnsi="ACaslonPro-Regular" w:cs="Times New Roman"/>
          <w:color w:val="000000"/>
          <w:sz w:val="24"/>
          <w:szCs w:val="24"/>
        </w:rPr>
        <w:t xml:space="preserve"> situation and decided to give him another set of utensils, which she labeled with his name. “Remember to find a quiet, </w:t>
      </w:r>
      <w:r w:rsidRPr="0081110B">
        <w:rPr>
          <w:rFonts w:ascii="ACaslonPro-Italic" w:eastAsia="Times New Roman" w:hAnsi="ACaslonPro-Italic" w:cs="Times New Roman"/>
          <w:color w:val="000000"/>
          <w:sz w:val="24"/>
          <w:szCs w:val="24"/>
        </w:rPr>
        <w:t>separate</w:t>
      </w:r>
      <w:r w:rsidRPr="0081110B">
        <w:rPr>
          <w:rFonts w:ascii="ACaslonPro-Regular" w:eastAsia="Times New Roman" w:hAnsi="ACaslonPro-Regular" w:cs="Times New Roman"/>
          <w:color w:val="000000"/>
          <w:sz w:val="24"/>
          <w:szCs w:val="24"/>
        </w:rPr>
        <w:t xml:space="preserve"> place to work instead of working and keeping your box of utensils at the table,” she told him. </w:t>
      </w:r>
      <w:proofErr w:type="spellStart"/>
      <w:r w:rsidRPr="0081110B">
        <w:rPr>
          <w:rFonts w:ascii="ACaslonPro-Regular" w:eastAsia="Times New Roman" w:hAnsi="ACaslonPro-Regular" w:cs="Times New Roman"/>
          <w:color w:val="000000"/>
          <w:sz w:val="24"/>
          <w:szCs w:val="24"/>
        </w:rPr>
        <w:t>Shua</w:t>
      </w:r>
      <w:proofErr w:type="spellEnd"/>
      <w:r w:rsidRPr="0081110B">
        <w:rPr>
          <w:rFonts w:ascii="ACaslonPro-Regular" w:eastAsia="Times New Roman" w:hAnsi="ACaslonPro-Regular" w:cs="Times New Roman"/>
          <w:color w:val="000000"/>
          <w:sz w:val="24"/>
          <w:szCs w:val="24"/>
        </w:rPr>
        <w:t xml:space="preserve"> nodded.</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 xml:space="preserve">A few weeks later, after seeing little change in the condition of </w:t>
      </w:r>
      <w:proofErr w:type="spellStart"/>
      <w:r w:rsidRPr="0081110B">
        <w:rPr>
          <w:rFonts w:ascii="ACaslonPro-Regular" w:eastAsia="Times New Roman" w:hAnsi="ACaslonPro-Regular" w:cs="Times New Roman"/>
          <w:color w:val="000000"/>
          <w:sz w:val="24"/>
          <w:szCs w:val="24"/>
        </w:rPr>
        <w:t>Shua’s</w:t>
      </w:r>
      <w:proofErr w:type="spellEnd"/>
      <w:r w:rsidRPr="0081110B">
        <w:rPr>
          <w:rFonts w:ascii="ACaslonPro-Regular" w:eastAsia="Times New Roman" w:hAnsi="ACaslonPro-Regular" w:cs="Times New Roman"/>
          <w:color w:val="000000"/>
          <w:sz w:val="24"/>
          <w:szCs w:val="24"/>
        </w:rPr>
        <w:t xml:space="preserve"> homework, Ms. Grady followed up with him regarding where he was studying and whether his siblings were still using </w:t>
      </w:r>
      <w:r w:rsidRPr="0081110B">
        <w:rPr>
          <w:rFonts w:ascii="ACaslonPro-Regular" w:eastAsia="Times New Roman" w:hAnsi="ACaslonPro-Regular" w:cs="Times New Roman"/>
          <w:color w:val="000000"/>
          <w:sz w:val="24"/>
          <w:szCs w:val="24"/>
        </w:rPr>
        <w:lastRenderedPageBreak/>
        <w:t xml:space="preserve">his utensils. Noticeably uncomfortable, </w:t>
      </w:r>
      <w:proofErr w:type="spellStart"/>
      <w:r w:rsidRPr="0081110B">
        <w:rPr>
          <w:rFonts w:ascii="ACaslonPro-Regular" w:eastAsia="Times New Roman" w:hAnsi="ACaslonPro-Regular" w:cs="Times New Roman"/>
          <w:color w:val="000000"/>
          <w:sz w:val="24"/>
          <w:szCs w:val="24"/>
        </w:rPr>
        <w:t>Shua</w:t>
      </w:r>
      <w:proofErr w:type="spellEnd"/>
      <w:r w:rsidRPr="0081110B">
        <w:rPr>
          <w:rFonts w:ascii="ACaslonPro-Regular" w:eastAsia="Times New Roman" w:hAnsi="ACaslonPro-Regular" w:cs="Times New Roman"/>
          <w:color w:val="000000"/>
          <w:sz w:val="24"/>
          <w:szCs w:val="24"/>
        </w:rPr>
        <w:t xml:space="preserve"> replied, “I still work at the table and sometimes they still use my stuff.” Ms. Grady thanked </w:t>
      </w:r>
      <w:proofErr w:type="spellStart"/>
      <w:r w:rsidRPr="0081110B">
        <w:rPr>
          <w:rFonts w:ascii="ACaslonPro-Regular" w:eastAsia="Times New Roman" w:hAnsi="ACaslonPro-Regular" w:cs="Times New Roman"/>
          <w:color w:val="000000"/>
          <w:sz w:val="24"/>
          <w:szCs w:val="24"/>
        </w:rPr>
        <w:t>Shua</w:t>
      </w:r>
      <w:proofErr w:type="spellEnd"/>
      <w:r w:rsidRPr="0081110B">
        <w:rPr>
          <w:rFonts w:ascii="ACaslonPro-Regular" w:eastAsia="Times New Roman" w:hAnsi="ACaslonPro-Regular" w:cs="Times New Roman"/>
          <w:color w:val="000000"/>
          <w:sz w:val="24"/>
          <w:szCs w:val="24"/>
        </w:rPr>
        <w:t xml:space="preserve"> for his honesty.</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 xml:space="preserve">Later, when the school day ended, she wondered how she should approach </w:t>
      </w:r>
      <w:proofErr w:type="spellStart"/>
      <w:r w:rsidRPr="0081110B">
        <w:rPr>
          <w:rFonts w:ascii="ACaslonPro-Regular" w:eastAsia="Times New Roman" w:hAnsi="ACaslonPro-Regular" w:cs="Times New Roman"/>
          <w:color w:val="000000"/>
          <w:sz w:val="24"/>
          <w:szCs w:val="24"/>
        </w:rPr>
        <w:t>Shua’s</w:t>
      </w:r>
      <w:proofErr w:type="spellEnd"/>
      <w:r w:rsidRPr="0081110B">
        <w:rPr>
          <w:rFonts w:ascii="ACaslonPro-Regular" w:eastAsia="Times New Roman" w:hAnsi="ACaslonPro-Regular" w:cs="Times New Roman"/>
          <w:color w:val="000000"/>
          <w:sz w:val="24"/>
          <w:szCs w:val="24"/>
        </w:rPr>
        <w:t xml:space="preserve"> parents at the upcoming parent-teacher conferences. She remembered they seemed supportive about her expectations that students have a quiet place to study. If they were supportive in front of her, but did not follow through at home, she worried they also would not be supportive of her other ideas for at-home learning. She also wondered whether </w:t>
      </w:r>
      <w:proofErr w:type="spellStart"/>
      <w:r w:rsidRPr="0081110B">
        <w:rPr>
          <w:rFonts w:ascii="ACaslonPro-Regular" w:eastAsia="Times New Roman" w:hAnsi="ACaslonPro-Regular" w:cs="Times New Roman"/>
          <w:color w:val="000000"/>
          <w:sz w:val="24"/>
          <w:szCs w:val="24"/>
        </w:rPr>
        <w:t>Shua’s</w:t>
      </w:r>
      <w:proofErr w:type="spellEnd"/>
      <w:r w:rsidRPr="0081110B">
        <w:rPr>
          <w:rFonts w:ascii="ACaslonPro-Regular" w:eastAsia="Times New Roman" w:hAnsi="ACaslonPro-Regular" w:cs="Times New Roman"/>
          <w:color w:val="000000"/>
          <w:sz w:val="24"/>
          <w:szCs w:val="24"/>
        </w:rPr>
        <w:t xml:space="preserve"> family might benefit from a referral to a local agency that could provide donations if the family needed school supplies or other household items, since his siblings were using </w:t>
      </w:r>
      <w:proofErr w:type="spellStart"/>
      <w:r w:rsidRPr="0081110B">
        <w:rPr>
          <w:rFonts w:ascii="ACaslonPro-Regular" w:eastAsia="Times New Roman" w:hAnsi="ACaslonPro-Regular" w:cs="Times New Roman"/>
          <w:color w:val="000000"/>
          <w:sz w:val="24"/>
          <w:szCs w:val="24"/>
        </w:rPr>
        <w:t>Shua’s</w:t>
      </w:r>
      <w:proofErr w:type="spellEnd"/>
      <w:r w:rsidRPr="0081110B">
        <w:rPr>
          <w:rFonts w:ascii="ACaslonPro-Regular" w:eastAsia="Times New Roman" w:hAnsi="ACaslonPro-Regular" w:cs="Times New Roman"/>
          <w:color w:val="000000"/>
          <w:sz w:val="24"/>
          <w:szCs w:val="24"/>
        </w:rPr>
        <w:t xml:space="preserve"> supplies.</w:t>
      </w:r>
    </w:p>
    <w:p w:rsidR="0081110B" w:rsidRPr="0081110B" w:rsidRDefault="0081110B" w:rsidP="0081110B">
      <w:pPr>
        <w:spacing w:after="100" w:afterAutospacing="1" w:line="240" w:lineRule="auto"/>
        <w:ind w:firstLine="240"/>
        <w:jc w:val="both"/>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Feeling frustrated, she packed her things and left for the day.</w:t>
      </w:r>
    </w:p>
    <w:p w:rsidR="0081110B" w:rsidRPr="0081110B" w:rsidRDefault="0081110B" w:rsidP="0081110B">
      <w:pPr>
        <w:spacing w:before="300" w:after="300" w:line="240" w:lineRule="auto"/>
        <w:jc w:val="right"/>
        <w:rPr>
          <w:rFonts w:ascii="ACaslonPro-Regular" w:eastAsia="Times New Roman" w:hAnsi="ACaslonPro-Regular" w:cs="Times New Roman"/>
          <w:color w:val="97A4AA"/>
          <w:sz w:val="18"/>
          <w:szCs w:val="18"/>
        </w:rPr>
      </w:pPr>
      <w:r w:rsidRPr="0081110B">
        <w:rPr>
          <w:rFonts w:ascii="ACaslonPro-Regular" w:eastAsia="Times New Roman" w:hAnsi="ACaslonPro-Regular" w:cs="Times New Roman"/>
          <w:color w:val="97A4AA"/>
          <w:sz w:val="18"/>
          <w:szCs w:val="18"/>
        </w:rPr>
        <w:t>p.47</w:t>
      </w:r>
    </w:p>
    <w:p w:rsidR="0081110B" w:rsidRPr="0081110B" w:rsidRDefault="0081110B" w:rsidP="0081110B">
      <w:pPr>
        <w:spacing w:before="360" w:after="192" w:line="240" w:lineRule="auto"/>
        <w:rPr>
          <w:rFonts w:ascii="ACaslonPro-Italic" w:eastAsia="Times New Roman" w:hAnsi="ACaslonPro-Italic" w:cs="Times New Roman"/>
          <w:color w:val="000000"/>
          <w:sz w:val="29"/>
          <w:szCs w:val="29"/>
        </w:rPr>
      </w:pPr>
      <w:r w:rsidRPr="0081110B">
        <w:rPr>
          <w:rFonts w:ascii="ACaslonPro-Italic" w:eastAsia="Times New Roman" w:hAnsi="ACaslonPro-Italic" w:cs="Times New Roman"/>
          <w:color w:val="000000"/>
          <w:sz w:val="29"/>
          <w:szCs w:val="29"/>
        </w:rPr>
        <w:t>Questions</w:t>
      </w:r>
    </w:p>
    <w:p w:rsidR="0081110B" w:rsidRPr="0081110B" w:rsidRDefault="0081110B" w:rsidP="0081110B">
      <w:pPr>
        <w:spacing w:after="100" w:afterAutospacing="1" w:line="240" w:lineRule="auto"/>
        <w:ind w:left="600" w:hanging="360"/>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1    What outcome was Ms. Grady hoping to achieve by talking about study habits during the Back to School meeting? Do you feel her strategies were useful? Why or why not?</w:t>
      </w:r>
    </w:p>
    <w:p w:rsidR="0081110B" w:rsidRPr="0081110B" w:rsidRDefault="0081110B" w:rsidP="0081110B">
      <w:pPr>
        <w:spacing w:after="100" w:afterAutospacing="1" w:line="240" w:lineRule="auto"/>
        <w:ind w:left="600" w:hanging="360"/>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2    Was Ms. Grady’s expectation for how the pencil case should be used reasonable, especially considering she gave him more than one? Why or why not?</w:t>
      </w:r>
    </w:p>
    <w:p w:rsidR="0081110B" w:rsidRDefault="0081110B" w:rsidP="0081110B">
      <w:pPr>
        <w:spacing w:after="100" w:afterAutospacing="1" w:line="240" w:lineRule="auto"/>
        <w:ind w:left="600" w:hanging="360"/>
        <w:rPr>
          <w:rFonts w:ascii="ACaslonPro-Regular" w:eastAsia="Times New Roman" w:hAnsi="ACaslonPro-Regular" w:cs="Times New Roman"/>
          <w:color w:val="000000"/>
          <w:sz w:val="24"/>
          <w:szCs w:val="24"/>
        </w:rPr>
      </w:pPr>
      <w:r w:rsidRPr="0081110B">
        <w:rPr>
          <w:rFonts w:ascii="ACaslonPro-Regular" w:eastAsia="Times New Roman" w:hAnsi="ACaslonPro-Regular" w:cs="Times New Roman"/>
          <w:color w:val="000000"/>
          <w:sz w:val="24"/>
          <w:szCs w:val="24"/>
        </w:rPr>
        <w:t xml:space="preserve">3    How might Ms. Grady’s frustrations impact her interaction with </w:t>
      </w:r>
      <w:proofErr w:type="spellStart"/>
      <w:r w:rsidRPr="0081110B">
        <w:rPr>
          <w:rFonts w:ascii="ACaslonPro-Regular" w:eastAsia="Times New Roman" w:hAnsi="ACaslonPro-Regular" w:cs="Times New Roman"/>
          <w:color w:val="000000"/>
          <w:sz w:val="24"/>
          <w:szCs w:val="24"/>
        </w:rPr>
        <w:t>Shua</w:t>
      </w:r>
      <w:proofErr w:type="spellEnd"/>
      <w:r w:rsidRPr="0081110B">
        <w:rPr>
          <w:rFonts w:ascii="ACaslonPro-Regular" w:eastAsia="Times New Roman" w:hAnsi="ACaslonPro-Regular" w:cs="Times New Roman"/>
          <w:color w:val="000000"/>
          <w:sz w:val="24"/>
          <w:szCs w:val="24"/>
        </w:rPr>
        <w:t xml:space="preserve"> and his family during the upcoming conference or for the remainder of the school year?</w:t>
      </w:r>
    </w:p>
    <w:p w:rsidR="00E31CDC" w:rsidRPr="0081110B" w:rsidRDefault="00E31CDC" w:rsidP="0081110B">
      <w:pPr>
        <w:spacing w:after="100" w:afterAutospacing="1" w:line="240" w:lineRule="auto"/>
        <w:ind w:left="600" w:hanging="360"/>
        <w:rPr>
          <w:rFonts w:ascii="ACaslonPro-Regular" w:eastAsia="Times New Roman" w:hAnsi="ACaslonPro-Regular" w:cs="Times New Roman"/>
          <w:color w:val="000000"/>
          <w:sz w:val="24"/>
          <w:szCs w:val="24"/>
        </w:rPr>
      </w:pPr>
      <w:r>
        <w:rPr>
          <w:rFonts w:ascii="Roboto" w:hAnsi="Roboto"/>
          <w:color w:val="3C3C3C"/>
          <w:sz w:val="21"/>
          <w:szCs w:val="21"/>
          <w:shd w:val="clear" w:color="auto" w:fill="FAFAFA"/>
        </w:rPr>
        <w:t>APPENDIX A THE EQUITY LITERACY CASE ANALYSIS WORKSHEET Step 1: Identify biases or inequities.   Step 2: Take stock of various perspectives.   Step 3: Consider possible challenges and opportunities.   Step 4: Imagine equitable and just outcomes.   Step 5: Brainstorm immediate-term solutions.   Step 6: Brainstorm long-term solutions.   Step 7: Craft a plan of action.  </w:t>
      </w:r>
    </w:p>
    <w:p w:rsidR="00207A11" w:rsidRDefault="00E31CDC">
      <w:r>
        <w:t>Appendix B</w:t>
      </w:r>
    </w:p>
    <w:p w:rsidR="00E31CDC" w:rsidRDefault="00E31CDC">
      <w:r>
        <w:rPr>
          <w:rFonts w:ascii="Roboto" w:hAnsi="Roboto"/>
          <w:color w:val="3C3C3C"/>
          <w:sz w:val="21"/>
          <w:szCs w:val="21"/>
          <w:shd w:val="clear" w:color="auto" w:fill="FAFAFA"/>
        </w:rPr>
        <w:t xml:space="preserve">Case 5.1: Protesting the Pledge ●    Given time constraints and other challenges, it can be difficult to know when to detour from a planned lesson to address a current event or to give students space to discuss a controversial topic. Choosing not to respond at all, however, can suggest agreement with the sentiment that is being expressed. If a student is being silenced or criticized for peacefully taking an equity stand, we should commit to taking a detour from the planned lesson to address it. ●    Even if school or district policy states that students can abstain from reciting the Pledge or national anthem, it’s important to be mindful of whether the classroom climate allows for students to not participate. A negative social consequence, as Kate is experiencing, or perhaps even backlash from staff can implicitly coerce participation. ●    Even if you consider the Pledge or anthem to be sacred, as many people do, it’s important to understand that some people might protest because they see a gap between the promises of rights symbolized by the Pledge and anthem and the present reality of inequity. ●    Mr. Harrold could ask students if they can think of other examples from U.S. history when people were criticized for protesting on behalf of social justice causes and how perceptions of those people and the criticism they faced changed over time. Why is there a tendency in the U.S. for many people to be more upset about protests than about the conditions being protested? Case 5.2: Not Time for Stories ●    Because Ms. Ward dismissed </w:t>
      </w:r>
      <w:proofErr w:type="spellStart"/>
      <w:r>
        <w:rPr>
          <w:rFonts w:ascii="Roboto" w:hAnsi="Roboto"/>
          <w:color w:val="3C3C3C"/>
          <w:sz w:val="21"/>
          <w:szCs w:val="21"/>
          <w:shd w:val="clear" w:color="auto" w:fill="FAFAFA"/>
        </w:rPr>
        <w:t>DeQuan’s</w:t>
      </w:r>
      <w:proofErr w:type="spellEnd"/>
      <w:r>
        <w:rPr>
          <w:rFonts w:ascii="Roboto" w:hAnsi="Roboto"/>
          <w:color w:val="3C3C3C"/>
          <w:sz w:val="21"/>
          <w:szCs w:val="21"/>
          <w:shd w:val="clear" w:color="auto" w:fill="FAFAFA"/>
        </w:rPr>
        <w:t xml:space="preserve"> contribution as a story rather than an answer to her </w:t>
      </w:r>
      <w:r>
        <w:rPr>
          <w:rFonts w:ascii="Roboto" w:hAnsi="Roboto"/>
          <w:color w:val="3C3C3C"/>
          <w:sz w:val="21"/>
          <w:szCs w:val="21"/>
          <w:shd w:val="clear" w:color="auto" w:fill="FAFAFA"/>
        </w:rPr>
        <w:lastRenderedPageBreak/>
        <w:t xml:space="preserve">question, he and other students might feel their contributions are not valued. Storytelling is a rich tradition in many families and might be a natural part of communication for some students. In some ways his ability to make connections between various events and topics demonstrates a more advanced cognitive process than the kind for which Ms. Ward was asking. She could have seen in </w:t>
      </w:r>
      <w:proofErr w:type="spellStart"/>
      <w:r>
        <w:rPr>
          <w:rFonts w:ascii="Roboto" w:hAnsi="Roboto"/>
          <w:color w:val="3C3C3C"/>
          <w:sz w:val="21"/>
          <w:szCs w:val="21"/>
          <w:shd w:val="clear" w:color="auto" w:fill="FAFAFA"/>
        </w:rPr>
        <w:t>DeQuan’s</w:t>
      </w:r>
      <w:proofErr w:type="spellEnd"/>
      <w:r>
        <w:rPr>
          <w:rFonts w:ascii="Roboto" w:hAnsi="Roboto"/>
          <w:color w:val="3C3C3C"/>
          <w:sz w:val="21"/>
          <w:szCs w:val="21"/>
          <w:shd w:val="clear" w:color="auto" w:fill="FAFAFA"/>
        </w:rPr>
        <w:t xml:space="preserve"> story descriptive words about California, such as “sunny” and “warm.” These were the same words she recorded after hearing them from </w:t>
      </w:r>
      <w:proofErr w:type="spellStart"/>
      <w:r>
        <w:rPr>
          <w:rFonts w:ascii="Roboto" w:hAnsi="Roboto"/>
          <w:color w:val="3C3C3C"/>
          <w:sz w:val="21"/>
          <w:szCs w:val="21"/>
          <w:shd w:val="clear" w:color="auto" w:fill="FAFAFA"/>
        </w:rPr>
        <w:t>Maddy</w:t>
      </w:r>
      <w:proofErr w:type="spellEnd"/>
      <w:r>
        <w:rPr>
          <w:rFonts w:ascii="Roboto" w:hAnsi="Roboto"/>
          <w:color w:val="3C3C3C"/>
          <w:sz w:val="21"/>
          <w:szCs w:val="21"/>
          <w:shd w:val="clear" w:color="auto" w:fill="FAFAFA"/>
        </w:rPr>
        <w:t xml:space="preserve">. p.111 ●    Ms. Ward validated </w:t>
      </w:r>
      <w:proofErr w:type="spellStart"/>
      <w:r>
        <w:rPr>
          <w:rFonts w:ascii="Roboto" w:hAnsi="Roboto"/>
          <w:color w:val="3C3C3C"/>
          <w:sz w:val="21"/>
          <w:szCs w:val="21"/>
          <w:shd w:val="clear" w:color="auto" w:fill="FAFAFA"/>
        </w:rPr>
        <w:t>Maddy’s</w:t>
      </w:r>
      <w:proofErr w:type="spellEnd"/>
      <w:r>
        <w:rPr>
          <w:rFonts w:ascii="Roboto" w:hAnsi="Roboto"/>
          <w:color w:val="3C3C3C"/>
          <w:sz w:val="21"/>
          <w:szCs w:val="21"/>
          <w:shd w:val="clear" w:color="auto" w:fill="FAFAFA"/>
        </w:rPr>
        <w:t xml:space="preserve"> contribution by saying she was correct, perhaps indirectly communicating to </w:t>
      </w:r>
      <w:proofErr w:type="spellStart"/>
      <w:r>
        <w:rPr>
          <w:rFonts w:ascii="Roboto" w:hAnsi="Roboto"/>
          <w:color w:val="3C3C3C"/>
          <w:sz w:val="21"/>
          <w:szCs w:val="21"/>
          <w:shd w:val="clear" w:color="auto" w:fill="FAFAFA"/>
        </w:rPr>
        <w:t>DeQuan</w:t>
      </w:r>
      <w:proofErr w:type="spellEnd"/>
      <w:r>
        <w:rPr>
          <w:rFonts w:ascii="Roboto" w:hAnsi="Roboto"/>
          <w:color w:val="3C3C3C"/>
          <w:sz w:val="21"/>
          <w:szCs w:val="21"/>
          <w:shd w:val="clear" w:color="auto" w:fill="FAFAFA"/>
        </w:rPr>
        <w:t xml:space="preserve"> that he was incorrect. Ms. Ward also distanced herself from </w:t>
      </w:r>
      <w:proofErr w:type="spellStart"/>
      <w:r>
        <w:rPr>
          <w:rFonts w:ascii="Roboto" w:hAnsi="Roboto"/>
          <w:color w:val="3C3C3C"/>
          <w:sz w:val="21"/>
          <w:szCs w:val="21"/>
          <w:shd w:val="clear" w:color="auto" w:fill="FAFAFA"/>
        </w:rPr>
        <w:t>DeQuan</w:t>
      </w:r>
      <w:proofErr w:type="spellEnd"/>
      <w:r>
        <w:rPr>
          <w:rFonts w:ascii="Roboto" w:hAnsi="Roboto"/>
          <w:color w:val="3C3C3C"/>
          <w:sz w:val="21"/>
          <w:szCs w:val="21"/>
          <w:shd w:val="clear" w:color="auto" w:fill="FAFAFA"/>
        </w:rPr>
        <w:t xml:space="preserve"> by telling him he was being disrespectful when he might have thought she was being disrespectful by interrupting him. This provides an opportunity to discuss ways students’ behaviors can be as much a reflection of our own missteps as it is about them, and the humility it takes to consider this possibility. ●    Ms. Ward’s initial question limited responses to students who had traveled to California, which would have excluded, and might have alienated, students whose families could not afford such a trip. ●    Attempting to proactively avoid further “disruption” from </w:t>
      </w:r>
      <w:proofErr w:type="spellStart"/>
      <w:r>
        <w:rPr>
          <w:rFonts w:ascii="Roboto" w:hAnsi="Roboto"/>
          <w:color w:val="3C3C3C"/>
          <w:sz w:val="21"/>
          <w:szCs w:val="21"/>
          <w:shd w:val="clear" w:color="auto" w:fill="FAFAFA"/>
        </w:rPr>
        <w:t>DeQuan</w:t>
      </w:r>
      <w:proofErr w:type="spellEnd"/>
      <w:r>
        <w:rPr>
          <w:rFonts w:ascii="Roboto" w:hAnsi="Roboto"/>
          <w:color w:val="3C3C3C"/>
          <w:sz w:val="21"/>
          <w:szCs w:val="21"/>
          <w:shd w:val="clear" w:color="auto" w:fill="FAFAFA"/>
        </w:rPr>
        <w:t xml:space="preserve">, Ms. Ward called out his potential behavior in front of class, further embarrassing him. It is worthwhile to consider the long-term effects of these sorts of </w:t>
      </w:r>
      <w:proofErr w:type="spellStart"/>
      <w:r>
        <w:rPr>
          <w:rFonts w:ascii="Roboto" w:hAnsi="Roboto"/>
          <w:color w:val="3C3C3C"/>
          <w:sz w:val="21"/>
          <w:szCs w:val="21"/>
          <w:shd w:val="clear" w:color="auto" w:fill="FAFAFA"/>
        </w:rPr>
        <w:t>microaggressions</w:t>
      </w:r>
      <w:proofErr w:type="spellEnd"/>
      <w:r>
        <w:rPr>
          <w:rFonts w:ascii="Roboto" w:hAnsi="Roboto"/>
          <w:color w:val="3C3C3C"/>
          <w:sz w:val="21"/>
          <w:szCs w:val="21"/>
          <w:shd w:val="clear" w:color="auto" w:fill="FAFAFA"/>
        </w:rPr>
        <w:t xml:space="preserve"> on student engagement when they happen repeatedly over time. Furthermore, if Ms. Ward incorrectly views </w:t>
      </w:r>
      <w:proofErr w:type="spellStart"/>
      <w:r>
        <w:rPr>
          <w:rFonts w:ascii="Roboto" w:hAnsi="Roboto"/>
          <w:color w:val="3C3C3C"/>
          <w:sz w:val="21"/>
          <w:szCs w:val="21"/>
          <w:shd w:val="clear" w:color="auto" w:fill="FAFAFA"/>
        </w:rPr>
        <w:t>DeQuan’s</w:t>
      </w:r>
      <w:proofErr w:type="spellEnd"/>
      <w:r>
        <w:rPr>
          <w:rFonts w:ascii="Roboto" w:hAnsi="Roboto"/>
          <w:color w:val="3C3C3C"/>
          <w:sz w:val="21"/>
          <w:szCs w:val="21"/>
          <w:shd w:val="clear" w:color="auto" w:fill="FAFAFA"/>
        </w:rPr>
        <w:t xml:space="preserve"> behavior as disrespectful, and this type of interaction between the two of them continues, </w:t>
      </w:r>
      <w:proofErr w:type="spellStart"/>
      <w:r>
        <w:rPr>
          <w:rFonts w:ascii="Roboto" w:hAnsi="Roboto"/>
          <w:color w:val="3C3C3C"/>
          <w:sz w:val="21"/>
          <w:szCs w:val="21"/>
          <w:shd w:val="clear" w:color="auto" w:fill="FAFAFA"/>
        </w:rPr>
        <w:t>DeQuan</w:t>
      </w:r>
      <w:proofErr w:type="spellEnd"/>
      <w:r>
        <w:rPr>
          <w:rFonts w:ascii="Roboto" w:hAnsi="Roboto"/>
          <w:color w:val="3C3C3C"/>
          <w:sz w:val="21"/>
          <w:szCs w:val="21"/>
          <w:shd w:val="clear" w:color="auto" w:fill="FAFAFA"/>
        </w:rPr>
        <w:t xml:space="preserve"> runs the risk of having a negative reputation follow him in subsequent years, compounding the bias. Case 5.3: Teaching Thanksgiving ●    While most (although not all) schools no longer rely on overt, stereotypical teachings of “Pilgrims and Indians” during Thanksgiving, these teachings remain prevalent in many parts of U.S. culture. Students see images in media and advertising. They hear misinformation from family and friends who hold onto inaccurate stories. By addressing this misinformation or lack of information, we can take advantage of opportunities to teach critical thinking. For example, the histories and perspectives of Indigenous people are often omitted from curricula, so holidays such as Columbus Day and Thanksgiving provide opportunities to initiate a kind of critical learning that can be applied to a variety of topics throughout the school year. p.112 ●    It can be powerful, for example, to explore with students why Thanksgiving or Columbus Day are observed by many Indigenous people as a day of mourning. Regardless of the racial composition of students, we should address this perspective and its history. The term “Happy Thanksgiving” does not resonate with everyone because it obscures significant historical events that continue to impact American Indians today. By not discussing multiple viewpoints about Thanksgiving, and simply focusing on other aspects such as food or thankfulness, we perpetuate misinformation and a larger U.S. mythology that buries histories of oppression under celebrations. ●    The burden of changing inequitable teaching practices often falls on those who have the insights and will to raise concerns about existing inequitable practices. Although we certainly want people with the deepest knowledge about equity to participate in equity efforts, we should be careful not to place the responsibility to raise these concerns fully on one or two people. Doing so might become a deterrent for those who wish to challenge existing conditions. Also, studies have shown in particular that teachers of color often bear extra uncompensated responsibilities for doing “diversity and inclusion” work in schools because people assume they have the expertise and interest to do it. ●    As educators we all should feel a sense of urgency to respond to and redress inequity in our schools despite time constraints and to support one another when teachable moments occur. Case 5.4: Multicultural Day Parade ●    Ms. Morrison used the words “ethnic” and “cultural” interchangeably when describing the type of clothing that would be showcased in the parade. Typically, ethnicity is used to describe a person’s ancestral, geographical background while culture is used to describe the norms of a group that could include people from various ethnicities. Additionally, nationality refers to the country of citizenship (which is not something everybody has in an official sense) while race generally refers to groups of people identified by skin color and other attributes. It is important to note that each of these concepts is, to one extent or another, socially constructed. That is, they are classification systems designed by humans rather than scientifically based. (This is why, for example, a Colombian citizen can be considered white in Colombia but </w:t>
      </w:r>
      <w:proofErr w:type="spellStart"/>
      <w:r>
        <w:rPr>
          <w:rFonts w:ascii="Roboto" w:hAnsi="Roboto"/>
          <w:color w:val="3C3C3C"/>
          <w:sz w:val="21"/>
          <w:szCs w:val="21"/>
          <w:shd w:val="clear" w:color="auto" w:fill="FAFAFA"/>
        </w:rPr>
        <w:t>Latinx</w:t>
      </w:r>
      <w:proofErr w:type="spellEnd"/>
      <w:r>
        <w:rPr>
          <w:rFonts w:ascii="Roboto" w:hAnsi="Roboto"/>
          <w:color w:val="3C3C3C"/>
          <w:sz w:val="21"/>
          <w:szCs w:val="21"/>
          <w:shd w:val="clear" w:color="auto" w:fill="FAFAFA"/>
        </w:rPr>
        <w:t xml:space="preserve"> in the United States.) p.113 ●    Many schools host a Diversity or Multicultural Day instead of integrating diversity and equity in deeper ways or instead of addressing inequities at all. Sometimes, in these sorts of events, students who feel alienated because of the way they are treated </w:t>
      </w:r>
      <w:r>
        <w:rPr>
          <w:rFonts w:ascii="Roboto" w:hAnsi="Roboto"/>
          <w:color w:val="3C3C3C"/>
          <w:sz w:val="21"/>
          <w:szCs w:val="21"/>
          <w:shd w:val="clear" w:color="auto" w:fill="FAFAFA"/>
        </w:rPr>
        <w:lastRenderedPageBreak/>
        <w:t xml:space="preserve">based on their identities throughout the year are asked to showcase their differences from the cultural “norm,” which could further alienate them from their peers. It is not equitable to request that students who feel marginalized participate in these events while the conditions that marginalize them still exist. The time and resources given to celebratory events is justified if comparable attention is given to addressing inequities in schools. ●    Ms. Morrison described the special clothing as “costumes,” which is a word many people associate with Halloween or make-believe play clothes. Use of the word to describe clothing youth associate with their heritage could trivialize their cultures. ●    Ms. Morrison had clear expectations for what she considered parade-worthy clothing. She assumed students would understand the notion of ethnic heritage and act accordingly. Once she realized otherwise, as with Keisha and Emily, she asserted her judgment and failed to see how their definition of “cultural clothing” was different from hers. Notice that Keisha was dismissed without consideration of the possibility that she, as an African American, might not have been able to trace her heritage to somewhere outside the United States or have access to clothing that she identified as representing her ethnic background. Similarly, Emily may not know her ethnic background or have resources to acquire clothing for the event. Other students in class who are descendants of slaves or who were adopted might not know what their ethnic heritage is. Ms. Morrison failed to capture the opportunity to learn more about how her students and their families self-identify. p.114 Case 5.5: A Place to Study ●    This case reflects the importance of considering impact rather than intent. Ms. Grady intends to help her students become better learners. However, the impact of her actions might create barriers to their learning. A quiet and isolated space might not be available in all students’ homes. Moreover, a collective approach might be more valued by the family over quiet isolation, in which case the pencil case could be used by everyone in the household. Ms. Grady might have been setting </w:t>
      </w:r>
      <w:proofErr w:type="spellStart"/>
      <w:r>
        <w:rPr>
          <w:rFonts w:ascii="Roboto" w:hAnsi="Roboto"/>
          <w:color w:val="3C3C3C"/>
          <w:sz w:val="21"/>
          <w:szCs w:val="21"/>
          <w:shd w:val="clear" w:color="auto" w:fill="FAFAFA"/>
        </w:rPr>
        <w:t>Shua</w:t>
      </w:r>
      <w:proofErr w:type="spellEnd"/>
      <w:r>
        <w:rPr>
          <w:rFonts w:ascii="Roboto" w:hAnsi="Roboto"/>
          <w:color w:val="3C3C3C"/>
          <w:sz w:val="21"/>
          <w:szCs w:val="21"/>
          <w:shd w:val="clear" w:color="auto" w:fill="FAFAFA"/>
        </w:rPr>
        <w:t xml:space="preserve"> up to create conflict in his family by expecting him to tell his siblings they were not allowed to use his resources. ●    Note that the scenario does not indicate whether </w:t>
      </w:r>
      <w:proofErr w:type="spellStart"/>
      <w:r>
        <w:rPr>
          <w:rFonts w:ascii="Roboto" w:hAnsi="Roboto"/>
          <w:color w:val="3C3C3C"/>
          <w:sz w:val="21"/>
          <w:szCs w:val="21"/>
          <w:shd w:val="clear" w:color="auto" w:fill="FAFAFA"/>
        </w:rPr>
        <w:t>Shua’s</w:t>
      </w:r>
      <w:proofErr w:type="spellEnd"/>
      <w:r>
        <w:rPr>
          <w:rFonts w:ascii="Roboto" w:hAnsi="Roboto"/>
          <w:color w:val="3C3C3C"/>
          <w:sz w:val="21"/>
          <w:szCs w:val="21"/>
          <w:shd w:val="clear" w:color="auto" w:fill="FAFAFA"/>
        </w:rPr>
        <w:t xml:space="preserve"> homework situation negatively affected his academic success. This lack of indication raises questions about the appropriateness of discussing it at a conference when doing so might create distance between the family and teacher. Additionally, Ms. Grady assumed </w:t>
      </w:r>
      <w:proofErr w:type="spellStart"/>
      <w:r>
        <w:rPr>
          <w:rFonts w:ascii="Roboto" w:hAnsi="Roboto"/>
          <w:color w:val="3C3C3C"/>
          <w:sz w:val="21"/>
          <w:szCs w:val="21"/>
          <w:shd w:val="clear" w:color="auto" w:fill="FAFAFA"/>
        </w:rPr>
        <w:t>Shua’s</w:t>
      </w:r>
      <w:proofErr w:type="spellEnd"/>
      <w:r>
        <w:rPr>
          <w:rFonts w:ascii="Roboto" w:hAnsi="Roboto"/>
          <w:color w:val="3C3C3C"/>
          <w:sz w:val="21"/>
          <w:szCs w:val="21"/>
          <w:shd w:val="clear" w:color="auto" w:fill="FAFAFA"/>
        </w:rPr>
        <w:t xml:space="preserve"> parents would not follow through on providing additional learning support at home. This assumption could impact how she engages them during the conference. Ms. Grady’s good intentions could have a negative impact on her relationship with </w:t>
      </w:r>
      <w:proofErr w:type="spellStart"/>
      <w:r>
        <w:rPr>
          <w:rFonts w:ascii="Roboto" w:hAnsi="Roboto"/>
          <w:color w:val="3C3C3C"/>
          <w:sz w:val="21"/>
          <w:szCs w:val="21"/>
          <w:shd w:val="clear" w:color="auto" w:fill="FAFAFA"/>
        </w:rPr>
        <w:t>Shua</w:t>
      </w:r>
      <w:proofErr w:type="spellEnd"/>
      <w:r>
        <w:rPr>
          <w:rFonts w:ascii="Roboto" w:hAnsi="Roboto"/>
          <w:color w:val="3C3C3C"/>
          <w:sz w:val="21"/>
          <w:szCs w:val="21"/>
          <w:shd w:val="clear" w:color="auto" w:fill="FAFAFA"/>
        </w:rPr>
        <w:t xml:space="preserve"> and his family. ●    Ms. Grady is worried about whether </w:t>
      </w:r>
      <w:proofErr w:type="spellStart"/>
      <w:r>
        <w:rPr>
          <w:rFonts w:ascii="Roboto" w:hAnsi="Roboto"/>
          <w:color w:val="3C3C3C"/>
          <w:sz w:val="21"/>
          <w:szCs w:val="21"/>
          <w:shd w:val="clear" w:color="auto" w:fill="FAFAFA"/>
        </w:rPr>
        <w:t>Shua</w:t>
      </w:r>
      <w:proofErr w:type="spellEnd"/>
      <w:r>
        <w:rPr>
          <w:rFonts w:ascii="Roboto" w:hAnsi="Roboto"/>
          <w:color w:val="3C3C3C"/>
          <w:sz w:val="21"/>
          <w:szCs w:val="21"/>
          <w:shd w:val="clear" w:color="auto" w:fill="FAFAFA"/>
        </w:rPr>
        <w:t xml:space="preserve"> is completing homework by himself. Would she harbor the same concern for a student who turned in homework without food stains or items crossed out? Is it possible that </w:t>
      </w:r>
      <w:proofErr w:type="spellStart"/>
      <w:r>
        <w:rPr>
          <w:rFonts w:ascii="Roboto" w:hAnsi="Roboto"/>
          <w:color w:val="3C3C3C"/>
          <w:sz w:val="21"/>
          <w:szCs w:val="21"/>
          <w:shd w:val="clear" w:color="auto" w:fill="FAFAFA"/>
        </w:rPr>
        <w:t>Shua’s</w:t>
      </w:r>
      <w:proofErr w:type="spellEnd"/>
      <w:r>
        <w:rPr>
          <w:rFonts w:ascii="Roboto" w:hAnsi="Roboto"/>
          <w:color w:val="3C3C3C"/>
          <w:sz w:val="21"/>
          <w:szCs w:val="21"/>
          <w:shd w:val="clear" w:color="auto" w:fill="FAFAFA"/>
        </w:rPr>
        <w:t xml:space="preserve"> brother is helping him, perhaps even teaching him, which is a good outcome?</w:t>
      </w:r>
    </w:p>
    <w:sectPr w:rsidR="00E31C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CaslonPro-Semibold">
    <w:altName w:val="Times New Roman"/>
    <w:panose1 w:val="00000000000000000000"/>
    <w:charset w:val="00"/>
    <w:family w:val="roman"/>
    <w:notTrueType/>
    <w:pitch w:val="default"/>
  </w:font>
  <w:font w:name="ACaslonPro-Regular">
    <w:altName w:val="Times New Roman"/>
    <w:panose1 w:val="00000000000000000000"/>
    <w:charset w:val="00"/>
    <w:family w:val="roman"/>
    <w:notTrueType/>
    <w:pitch w:val="default"/>
  </w:font>
  <w:font w:name="ACaslonPro-Italic">
    <w:altName w:val="Times New Roman"/>
    <w:panose1 w:val="00000000000000000000"/>
    <w:charset w:val="00"/>
    <w:family w:val="roman"/>
    <w:notTrueType/>
    <w:pitch w:val="default"/>
  </w:font>
  <w:font w:name="Roboto">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ED7997"/>
    <w:multiLevelType w:val="multilevel"/>
    <w:tmpl w:val="D37AA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9C6C0B"/>
    <w:multiLevelType w:val="multilevel"/>
    <w:tmpl w:val="738C1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892A13"/>
    <w:multiLevelType w:val="multilevel"/>
    <w:tmpl w:val="C48018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C37BEF"/>
    <w:multiLevelType w:val="multilevel"/>
    <w:tmpl w:val="91725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6614B1"/>
    <w:multiLevelType w:val="multilevel"/>
    <w:tmpl w:val="DCA67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A11"/>
    <w:rsid w:val="00005119"/>
    <w:rsid w:val="00207A11"/>
    <w:rsid w:val="004728AB"/>
    <w:rsid w:val="0081110B"/>
    <w:rsid w:val="00825D36"/>
    <w:rsid w:val="00E31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3421D"/>
  <w15:chartTrackingRefBased/>
  <w15:docId w15:val="{7C155837-3E5C-4FFB-B7A1-702942210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207A1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207A11"/>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207A1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07A11"/>
    <w:rPr>
      <w:i/>
      <w:iCs/>
    </w:rPr>
  </w:style>
  <w:style w:type="character" w:styleId="Hyperlink">
    <w:name w:val="Hyperlink"/>
    <w:basedOn w:val="DefaultParagraphFont"/>
    <w:uiPriority w:val="99"/>
    <w:semiHidden/>
    <w:unhideWhenUsed/>
    <w:rsid w:val="00207A11"/>
    <w:rPr>
      <w:color w:val="0000FF"/>
      <w:u w:val="single"/>
    </w:rPr>
  </w:style>
  <w:style w:type="character" w:styleId="Strong">
    <w:name w:val="Strong"/>
    <w:basedOn w:val="DefaultParagraphFont"/>
    <w:uiPriority w:val="22"/>
    <w:qFormat/>
    <w:rsid w:val="00207A11"/>
    <w:rPr>
      <w:b/>
      <w:bCs/>
    </w:rPr>
  </w:style>
  <w:style w:type="paragraph" w:customStyle="1" w:styleId="boxhead">
    <w:name w:val="boxhead"/>
    <w:basedOn w:val="Normal"/>
    <w:rsid w:val="008111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lag-all-caps">
    <w:name w:val="flag-all-caps"/>
    <w:basedOn w:val="DefaultParagraphFont"/>
    <w:rsid w:val="0081110B"/>
  </w:style>
  <w:style w:type="paragraph" w:customStyle="1" w:styleId="noindent">
    <w:name w:val="noindent"/>
    <w:basedOn w:val="Normal"/>
    <w:rsid w:val="008111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
    <w:name w:val="indent"/>
    <w:basedOn w:val="Normal"/>
    <w:rsid w:val="008111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genum">
    <w:name w:val="pagenum"/>
    <w:basedOn w:val="Normal"/>
    <w:rsid w:val="008111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2">
    <w:name w:val="h2"/>
    <w:basedOn w:val="Normal"/>
    <w:rsid w:val="008111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list">
    <w:name w:val="nlist"/>
    <w:basedOn w:val="Normal"/>
    <w:rsid w:val="008111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num">
    <w:name w:val="listnum"/>
    <w:basedOn w:val="DefaultParagraphFont"/>
    <w:rsid w:val="0081110B"/>
  </w:style>
  <w:style w:type="character" w:customStyle="1" w:styleId="italic">
    <w:name w:val="italic"/>
    <w:basedOn w:val="DefaultParagraphFont"/>
    <w:rsid w:val="008111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742102">
      <w:bodyDiv w:val="1"/>
      <w:marLeft w:val="0"/>
      <w:marRight w:val="0"/>
      <w:marTop w:val="0"/>
      <w:marBottom w:val="0"/>
      <w:divBdr>
        <w:top w:val="none" w:sz="0" w:space="0" w:color="auto"/>
        <w:left w:val="none" w:sz="0" w:space="0" w:color="auto"/>
        <w:bottom w:val="none" w:sz="0" w:space="0" w:color="auto"/>
        <w:right w:val="none" w:sz="0" w:space="0" w:color="auto"/>
      </w:divBdr>
    </w:div>
    <w:div w:id="978535650">
      <w:bodyDiv w:val="1"/>
      <w:marLeft w:val="0"/>
      <w:marRight w:val="0"/>
      <w:marTop w:val="0"/>
      <w:marBottom w:val="0"/>
      <w:divBdr>
        <w:top w:val="none" w:sz="0" w:space="0" w:color="auto"/>
        <w:left w:val="none" w:sz="0" w:space="0" w:color="auto"/>
        <w:bottom w:val="none" w:sz="0" w:space="0" w:color="auto"/>
        <w:right w:val="none" w:sz="0" w:space="0" w:color="auto"/>
      </w:divBdr>
      <w:divsChild>
        <w:div w:id="614292077">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572391745">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211158768">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1943874636">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343476996">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1229537492">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1157721690">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554780598">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sChild>
    </w:div>
    <w:div w:id="167530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vitalsource.com/books/9781351142502/epub/OEBPS/toc.xlink.xhtml" TargetMode="External"/><Relationship Id="rId3" Type="http://schemas.openxmlformats.org/officeDocument/2006/relationships/settings" Target="settings.xml"/><Relationship Id="rId7" Type="http://schemas.openxmlformats.org/officeDocument/2006/relationships/hyperlink" Target="https://jigsaw.vitalsource.com/books/9781351142502/epub/OEBPS/toc.xlink.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jigsaw.vitalsource.com/books/9781351142502/epub/OEBPS/toc.xlink.xhtml" TargetMode="External"/><Relationship Id="rId5" Type="http://schemas.openxmlformats.org/officeDocument/2006/relationships/hyperlink" Target="https://jigsaw.vitalsource.com/books/9781351142502/epub/OEBPS/toc.xlink.x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4033</Words>
  <Characters>22993</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Clayton County Public Schools</Company>
  <LinksUpToDate>false</LinksUpToDate>
  <CharactersWithSpaces>26973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Brownlee, Jazmine</dc:creator>
  <cp:keywords/>
  <dc:description/>
  <cp:lastModifiedBy>Brownlee, Jazmine</cp:lastModifiedBy>
  <cp:revision>2</cp:revision>
  <dcterms:created xsi:type="dcterms:W3CDTF">2018-11-18T05:40:00Z</dcterms:created>
  <dcterms:modified xsi:type="dcterms:W3CDTF">2018-11-18T05:40:00Z</dcterms:modified>
</cp:coreProperties>
</file>